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2110" w:rsidRDefault="003E66B8">
      <w:pPr>
        <w:rPr>
          <w:rStyle w:val="fontstyle01"/>
        </w:rPr>
      </w:pPr>
      <w:r>
        <w:rPr>
          <w:rStyle w:val="fontstyle01"/>
        </w:rPr>
        <w:t>Consumer Privacy: Balancing Economic</w:t>
      </w:r>
      <w:r>
        <w:rPr>
          <w:rStyle w:val="fontstyle01"/>
        </w:rPr>
        <w:t xml:space="preserve"> </w:t>
      </w:r>
      <w:r>
        <w:rPr>
          <w:rStyle w:val="fontstyle01"/>
        </w:rPr>
        <w:t>and Justice Considerations</w:t>
      </w:r>
    </w:p>
    <w:p w:rsidR="003E66B8" w:rsidRDefault="003E66B8">
      <w:pPr>
        <w:rPr>
          <w:rStyle w:val="fontstyle01"/>
        </w:rPr>
      </w:pPr>
    </w:p>
    <w:p w:rsidR="003E66B8" w:rsidRDefault="003837F6">
      <w:pPr>
        <w:rPr>
          <w:rFonts w:ascii="Times-Italic" w:hAnsi="Times-Italic"/>
          <w:i/>
          <w:iCs/>
          <w:color w:val="000000"/>
          <w:sz w:val="20"/>
          <w:szCs w:val="20"/>
        </w:rPr>
      </w:pP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Consumer privacy is at the center of an ongoing debate among business leaders,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privacy activists, and government officials. Although corporations face competitive pressures to collect and use personal information about their customers, many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consumers find some methods of collection and use of their personal information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br/>
        <w:t>unfair. We present a justice theory framework that illustrates how consumer privacy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concerns are shaped by the perceived fairness of corporate information practices.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We describe a set of global principles, fair information practices, which were developed to balance consumer privacy concerns with an organization’s need to use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br/>
        <w:t>personal information. We conclude by discussing three alternatives for implementing fair information practices with particular attention to the Internet: government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</w:t>
      </w:r>
      <w:r w:rsidRPr="003837F6">
        <w:rPr>
          <w:rFonts w:ascii="Times-Italic" w:hAnsi="Times-Italic"/>
          <w:i/>
          <w:iCs/>
          <w:color w:val="000000"/>
          <w:sz w:val="20"/>
          <w:szCs w:val="20"/>
        </w:rPr>
        <w:t>regulation, industry self-regulation, and technological solutions.</w:t>
      </w:r>
    </w:p>
    <w:p w:rsidR="00E11B2A" w:rsidRDefault="00E11B2A">
      <w:pPr>
        <w:rPr>
          <w:rFonts w:ascii="Times-Italic" w:hAnsi="Times-Italic"/>
          <w:i/>
          <w:iCs/>
          <w:color w:val="000000"/>
          <w:sz w:val="20"/>
          <w:szCs w:val="20"/>
        </w:rPr>
      </w:pPr>
    </w:p>
    <w:p w:rsidR="00E11B2A" w:rsidRDefault="00915594">
      <w:pPr>
        <w:rPr>
          <w:rFonts w:ascii="Times-Roman" w:hAnsi="Times-Roman"/>
          <w:color w:val="000000"/>
          <w:sz w:val="20"/>
          <w:szCs w:val="20"/>
        </w:rPr>
      </w:pPr>
      <w:r w:rsidRPr="00915594">
        <w:rPr>
          <w:rFonts w:ascii="Times-Roman" w:hAnsi="Times-Roman"/>
          <w:color w:val="000000"/>
          <w:sz w:val="20"/>
          <w:szCs w:val="20"/>
        </w:rPr>
        <w:t>The issue of consumer privacy is at the center of an ongoing public debate</w:t>
      </w:r>
      <w:r>
        <w:rPr>
          <w:rFonts w:ascii="Times-Roman" w:hAnsi="Times-Roman"/>
          <w:color w:val="000000"/>
          <w:sz w:val="20"/>
          <w:szCs w:val="20"/>
        </w:rPr>
        <w:t xml:space="preserve"> </w:t>
      </w:r>
      <w:r w:rsidRPr="00915594">
        <w:rPr>
          <w:rFonts w:ascii="Times-Roman" w:hAnsi="Times-Roman"/>
          <w:color w:val="000000"/>
          <w:sz w:val="20"/>
          <w:szCs w:val="20"/>
        </w:rPr>
        <w:t xml:space="preserve">in which three different perspectives on consumer privacy have emerged: </w:t>
      </w:r>
      <w:r w:rsidRPr="00915594">
        <w:rPr>
          <w:rFonts w:ascii="Times-Italic" w:hAnsi="Times-Italic"/>
          <w:i/>
          <w:iCs/>
          <w:color w:val="000000"/>
          <w:sz w:val="20"/>
          <w:szCs w:val="20"/>
        </w:rPr>
        <w:t>the corporate perspective</w:t>
      </w:r>
      <w:r w:rsidRPr="00915594">
        <w:rPr>
          <w:rFonts w:ascii="Times-Roman" w:hAnsi="Times-Roman"/>
          <w:color w:val="000000"/>
          <w:sz w:val="20"/>
          <w:szCs w:val="20"/>
        </w:rPr>
        <w:t xml:space="preserve">, </w:t>
      </w:r>
      <w:r w:rsidRPr="00915594">
        <w:rPr>
          <w:rFonts w:ascii="Times-Italic" w:hAnsi="Times-Italic"/>
          <w:i/>
          <w:iCs/>
          <w:color w:val="000000"/>
          <w:sz w:val="20"/>
          <w:szCs w:val="20"/>
        </w:rPr>
        <w:t>the activist perspective</w:t>
      </w:r>
      <w:r w:rsidRPr="00915594">
        <w:rPr>
          <w:rFonts w:ascii="Times-Roman" w:hAnsi="Times-Roman"/>
          <w:color w:val="000000"/>
          <w:sz w:val="20"/>
          <w:szCs w:val="20"/>
        </w:rPr>
        <w:t xml:space="preserve">, and </w:t>
      </w:r>
      <w:r w:rsidRPr="00915594">
        <w:rPr>
          <w:rFonts w:ascii="Times-Italic" w:hAnsi="Times-Italic"/>
          <w:i/>
          <w:iCs/>
          <w:color w:val="000000"/>
          <w:sz w:val="20"/>
          <w:szCs w:val="20"/>
        </w:rPr>
        <w:t xml:space="preserve">the </w:t>
      </w:r>
      <w:proofErr w:type="gramStart"/>
      <w:r w:rsidRPr="00915594">
        <w:rPr>
          <w:rFonts w:ascii="Times-Italic" w:hAnsi="Times-Italic"/>
          <w:i/>
          <w:iCs/>
          <w:color w:val="000000"/>
          <w:sz w:val="20"/>
          <w:szCs w:val="20"/>
        </w:rPr>
        <w:t xml:space="preserve">centrist </w:t>
      </w:r>
      <w:r>
        <w:rPr>
          <w:rFonts w:ascii="Times-Italic" w:hAnsi="Times-Italic"/>
          <w:i/>
          <w:iCs/>
          <w:color w:val="000000"/>
          <w:sz w:val="20"/>
          <w:szCs w:val="20"/>
        </w:rPr>
        <w:t xml:space="preserve"> p</w:t>
      </w:r>
      <w:r w:rsidRPr="00915594">
        <w:rPr>
          <w:rFonts w:ascii="Times-Italic" w:hAnsi="Times-Italic"/>
          <w:i/>
          <w:iCs/>
          <w:color w:val="000000"/>
          <w:sz w:val="20"/>
          <w:szCs w:val="20"/>
        </w:rPr>
        <w:t>erspective</w:t>
      </w:r>
      <w:proofErr w:type="gramEnd"/>
      <w:r w:rsidRPr="00915594">
        <w:rPr>
          <w:rFonts w:ascii="Times-Roman" w:hAnsi="Times-Roman"/>
          <w:color w:val="000000"/>
          <w:sz w:val="20"/>
          <w:szCs w:val="20"/>
        </w:rPr>
        <w:t>. The corporate perspective argues that corporations are the primary creator and provider</w:t>
      </w:r>
      <w:r>
        <w:rPr>
          <w:rFonts w:ascii="Times-Roman" w:hAnsi="Times-Roman"/>
          <w:color w:val="000000"/>
          <w:sz w:val="20"/>
          <w:szCs w:val="20"/>
        </w:rPr>
        <w:t xml:space="preserve"> </w:t>
      </w:r>
      <w:r w:rsidRPr="00915594">
        <w:rPr>
          <w:rFonts w:ascii="Times-Roman" w:hAnsi="Times-Roman"/>
          <w:color w:val="000000"/>
          <w:sz w:val="20"/>
          <w:szCs w:val="20"/>
        </w:rPr>
        <w:t>of economic growth and development for society (Scott &amp; Hart, 1979). The proponents of this perspective argue that any restrictions placed on the corporation’s</w:t>
      </w:r>
      <w:r>
        <w:rPr>
          <w:rFonts w:ascii="Times-Roman" w:hAnsi="Times-Roman"/>
          <w:color w:val="000000"/>
          <w:sz w:val="20"/>
          <w:szCs w:val="20"/>
        </w:rPr>
        <w:t xml:space="preserve"> </w:t>
      </w:r>
      <w:r w:rsidRPr="00915594">
        <w:rPr>
          <w:rFonts w:ascii="Times-Roman" w:hAnsi="Times-Roman"/>
          <w:color w:val="000000"/>
          <w:sz w:val="20"/>
          <w:szCs w:val="20"/>
        </w:rPr>
        <w:t>ability to access personal information about consumers only compromises the</w:t>
      </w:r>
      <w:r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corporation’s ability to operate efficiently in the marketplace, and thus impedes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its ability to fulfill its social responsibility (Lester, 2001). By contrast, the activist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perspective argues that if free-market forces and advances in technology are left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unchecked, then information will be available to anyone for any purposes, which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will violate the right to privacy as well as imposing harmful social costs on society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(Garfinkel &amp; Russell, 2000). The centrist perspective takes a “middle ground”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between the corporate and activist perspectives. Specifically, its proponents argue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that consumers need to have choices in a vibrant economy, and those choices can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be more consumer-relevant if “reasonable” corporate access to personal information is allowed (O’Harrow, 2001a). According to the centrists, corporate access to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personal information must be balanced against a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legitimate right of consumers to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privacy, protection of which is afforded by self-regulation, laws and technology.</w:t>
      </w:r>
      <w:r w:rsidR="006C6F5D" w:rsidRPr="006C6F5D">
        <w:rPr>
          <w:rFonts w:ascii="Times-Roman" w:hAnsi="Times-Roman"/>
          <w:color w:val="000000"/>
          <w:sz w:val="20"/>
          <w:szCs w:val="20"/>
        </w:rPr>
        <w:br/>
        <w:t>But what is really at the core of the debate among these three perspectives is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the issue of who controls personal information about the consumer (Garfinkel &amp;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Russell, 2000; Larson, 1994; Rosen, 2000; Rothfeder, 1992). In a world where organizations can no longer know their customers personally, advances in technology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combined with a need to serve customers as individuals have fueled the collection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of personal information. It is possible for firms to efficiently gather, store, use, and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 xml:space="preserve">exchange vast amounts of consumer information that are needed in </w:t>
      </w:r>
      <w:proofErr w:type="gramStart"/>
      <w:r w:rsidR="006C6F5D" w:rsidRPr="006C6F5D">
        <w:rPr>
          <w:rFonts w:ascii="Times-Roman" w:hAnsi="Times-Roman"/>
          <w:color w:val="000000"/>
          <w:sz w:val="20"/>
          <w:szCs w:val="20"/>
        </w:rPr>
        <w:t>a</w:t>
      </w:r>
      <w:proofErr w:type="gramEnd"/>
      <w:r w:rsidR="006C6F5D" w:rsidRPr="006C6F5D">
        <w:rPr>
          <w:rFonts w:ascii="Times-Roman" w:hAnsi="Times-Roman"/>
          <w:color w:val="000000"/>
          <w:sz w:val="20"/>
          <w:szCs w:val="20"/>
        </w:rPr>
        <w:t xml:space="preserve"> business environment characterized by largely anonymous, impersonal relationships (Garfinkel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&amp; Russell, 2000; Larson 1994; Rothfeder, 1992). Instantaneous access to a consumer’s credit report containing his or her bill-paying history means credit can be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extended on the spot. Online access to a customer’s purchase history by a customer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service representative enables standardized, impersonal encounters with anyone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who answers the 800-number to assume the appearance of a personal relationship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(Gutek, 1995). Firms use data mining to perform sophisticated analyses on massive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databases of transaction data that provide the basis for designing marketing programs for individual customers (Garfinkel &amp; Russell, 2000; Winer, 2001). These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uses of information both benefit consumers through greater convenience, access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to personalized offers, and other benefits such as loyalty programs, and benefit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organizations by creating customer loyalty and reducing costs (Winer, 2001). Yet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these same advances in technology that can create benefits for both consumers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and organizations described above are simultaneously raising privacy concerns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because of the potential for surveillance (e.g., Bloom, Milne, &amp; Adler, 1994;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Culnan, 1993; Culnan &amp; Armstrong, 1999; Culnan &amp; Milberg, 1998; Smith,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Milberg &amp; Burke, 1996). Consider the example of DoubleClick, a major Internetbased advertising company (Baron, 2001).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To improve targeting of ads, DoubleClick used anonymous cookies to profile</w:t>
      </w:r>
      <w:r w:rsidR="00F97C84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individual users’ surfing activities and ad responses across the 1,500 client Web</w:t>
      </w:r>
      <w:r w:rsidR="005008C1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sites where it served advertisements. “Anonymous cookies” are small files placed</w:t>
      </w:r>
      <w:r w:rsidR="005008C1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 xml:space="preserve">by </w:t>
      </w:r>
      <w:proofErr w:type="gramStart"/>
      <w:r w:rsidR="006C6F5D" w:rsidRPr="006C6F5D">
        <w:rPr>
          <w:rFonts w:ascii="Times-Roman" w:hAnsi="Times-Roman"/>
          <w:color w:val="000000"/>
          <w:sz w:val="20"/>
          <w:szCs w:val="20"/>
        </w:rPr>
        <w:t>a</w:t>
      </w:r>
      <w:proofErr w:type="gramEnd"/>
      <w:r w:rsidR="006C6F5D" w:rsidRPr="006C6F5D">
        <w:rPr>
          <w:rFonts w:ascii="Times-Roman" w:hAnsi="Times-Roman"/>
          <w:color w:val="000000"/>
          <w:sz w:val="20"/>
          <w:szCs w:val="20"/>
        </w:rPr>
        <w:t xml:space="preserve"> Web site on a surfer’s hard disk. Cookies may be used to store a password or</w:t>
      </w:r>
      <w:r w:rsidR="005008C1">
        <w:rPr>
          <w:rFonts w:ascii="Times-Roman" w:hAnsi="Times-Roman"/>
          <w:color w:val="000000"/>
          <w:sz w:val="20"/>
          <w:szCs w:val="20"/>
        </w:rPr>
        <w:t xml:space="preserve"> </w:t>
      </w:r>
      <w:r w:rsidR="006C6F5D" w:rsidRPr="006C6F5D">
        <w:rPr>
          <w:rFonts w:ascii="Times-Roman" w:hAnsi="Times-Roman"/>
          <w:color w:val="000000"/>
          <w:sz w:val="20"/>
          <w:szCs w:val="20"/>
        </w:rPr>
        <w:t>to record information about visits to the Web site by anyone who uses a particular</w:t>
      </w:r>
      <w:r w:rsidR="005008C1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computer. The DoubleClick cookies were deemed anonymous because they did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not contain any personally identifiable information that could be used to link the</w:t>
      </w:r>
      <w:r w:rsidR="000363D0" w:rsidRPr="000363D0">
        <w:rPr>
          <w:rFonts w:ascii="Times-Roman" w:hAnsi="Times-Roman"/>
          <w:color w:val="000000"/>
          <w:sz w:val="20"/>
          <w:szCs w:val="20"/>
        </w:rPr>
        <w:br/>
        <w:t>data in the cookie to an identifiable individual or to other offline information about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an individual.</w:t>
      </w:r>
      <w:r w:rsidR="000363D0" w:rsidRPr="000363D0">
        <w:rPr>
          <w:rFonts w:ascii="Times-Roman" w:hAnsi="Times-Roman"/>
          <w:color w:val="000000"/>
          <w:sz w:val="20"/>
          <w:szCs w:val="20"/>
        </w:rPr>
        <w:br/>
        <w:t>The majority of surfers were unaware that they were being tracked as the Web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sites on which DoubleClick’s ads appeared typically did not provide notice that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DoubleClick, a third party, was collecting information as they visited other Web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 xml:space="preserve">sites. The privacy policy DoubleClick posted on </w:t>
      </w:r>
      <w:r w:rsidR="000363D0" w:rsidRPr="000363D0">
        <w:rPr>
          <w:rFonts w:ascii="Times-Italic" w:hAnsi="Times-Italic"/>
          <w:i/>
          <w:iCs/>
          <w:color w:val="000000"/>
          <w:sz w:val="20"/>
          <w:szCs w:val="20"/>
        </w:rPr>
        <w:t xml:space="preserve">its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Web site stated that all users</w:t>
      </w:r>
      <w:r w:rsidR="00D2111D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 xml:space="preserve">who received </w:t>
      </w:r>
      <w:r w:rsidR="000363D0" w:rsidRPr="000363D0">
        <w:rPr>
          <w:rFonts w:ascii="Times-Roman" w:hAnsi="Times-Roman"/>
          <w:color w:val="000000"/>
          <w:sz w:val="20"/>
          <w:szCs w:val="20"/>
        </w:rPr>
        <w:lastRenderedPageBreak/>
        <w:t>an ad would remain completely anonymous and that DoubleClick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would not sell or rent any personal information to third parties.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br/>
        <w:t>In 1999, DoubleClick acquired Abacus Direct. Abacus operates a cooperative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database, containing buyer profiles for 88 million catalog shoppers. A cooperative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database is one where members such as direct marketers contribute their customer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data in exchange for being able to use the information in the database. Although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these firms may have informed their customers that they shared their personal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information with other marketers, these disclosures typically did not mention that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the customer’s information would be added to a large third-party database. Subsequently, DoubleClick planned to collect similar data from its Web partners in order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to merge the anonymous cookie information gathered online with the personally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identifiable offline information in the Abacus database. Once this plan became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 xml:space="preserve">public, the resulting spate of negative publicity led to lawsuits, an </w:t>
      </w:r>
      <w:proofErr w:type="gramStart"/>
      <w:r w:rsidR="000363D0" w:rsidRPr="000363D0">
        <w:rPr>
          <w:rFonts w:ascii="Times-Roman" w:hAnsi="Times-Roman"/>
          <w:color w:val="000000"/>
          <w:sz w:val="20"/>
          <w:szCs w:val="20"/>
        </w:rPr>
        <w:t>investigation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by</w:t>
      </w:r>
      <w:proofErr w:type="gramEnd"/>
      <w:r w:rsidR="000363D0" w:rsidRPr="000363D0">
        <w:rPr>
          <w:rFonts w:ascii="Times-Roman" w:hAnsi="Times-Roman"/>
          <w:color w:val="000000"/>
          <w:sz w:val="20"/>
          <w:szCs w:val="20"/>
        </w:rPr>
        <w:t xml:space="preserve"> the Federal Trade Commission (FTC) and a drop in DoubleClick’s stock price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by $30 per share. Finally, in March 2000, DoubleClick announced that it had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made a mistake, and would put its plans to merge data on hold until there was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agreement between government and industry on privacy standards (Green, 2000;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Schwartz, 2000). Two years later, in March 2002, DoubleClick announced that it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had reached an agreement to settle all the pending federal and class action privacy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lawsuits (DoubleClick, 2002).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In the competitive global marketplace, privacy emerges as an important issue because of a fundamental tension between corporate and consumer interests.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Specifically, corporations need to collect and use personal information to remain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competitive while consumers find some methods of collection and use of their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personal information unfair and an invasion of their privacy (Culnan, Smith, &amp;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Bies, 1994). This article addresses the tensions that arise between the corporation’s economic interests and individual consumer’s justice concerns (Garfinkel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&amp; Russell, 2000; Larson, 1994; Rosen, 2000; Rothfeder, 1992).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Our article will be organized as follows. First, we will describe the concept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of “the second exchange” as central to understanding consumer privacy concerns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(Culnan &amp; Milberg, 1998). Next, we will present a conceptual framework that illustrates how these consumer privacy concerns are shaped by the fairness of corporate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  <w:r w:rsidR="000363D0" w:rsidRPr="000363D0">
        <w:rPr>
          <w:rFonts w:ascii="Times-Roman" w:hAnsi="Times-Roman"/>
          <w:color w:val="000000"/>
          <w:sz w:val="20"/>
          <w:szCs w:val="20"/>
        </w:rPr>
        <w:t>information practices. We will conclude by discussing alternatives for implementing a set of principles, fair information practices, focusing on the Internet.</w:t>
      </w:r>
      <w:r w:rsidR="00114F53">
        <w:rPr>
          <w:rFonts w:ascii="Times-Roman" w:hAnsi="Times-Roman"/>
          <w:color w:val="000000"/>
          <w:sz w:val="20"/>
          <w:szCs w:val="20"/>
        </w:rPr>
        <w:t xml:space="preserve"> </w:t>
      </w:r>
    </w:p>
    <w:p w:rsidR="00187F60" w:rsidRDefault="00187F60">
      <w:pPr>
        <w:rPr>
          <w:rFonts w:ascii="Times-Roman" w:hAnsi="Times-Roman"/>
          <w:color w:val="000000"/>
          <w:sz w:val="20"/>
          <w:szCs w:val="20"/>
        </w:rPr>
      </w:pPr>
      <w:r w:rsidRPr="00187F60">
        <w:rPr>
          <w:rFonts w:ascii="Times-Bold" w:hAnsi="Times-Bold"/>
          <w:b/>
          <w:bCs/>
          <w:color w:val="000000"/>
          <w:sz w:val="20"/>
          <w:szCs w:val="20"/>
        </w:rPr>
        <w:t>Beyond the Consumer Transaction: Privacy and the Second Exchange</w:t>
      </w:r>
      <w:r w:rsidRPr="00187F60">
        <w:rPr>
          <w:rFonts w:ascii="Times-Bold" w:hAnsi="Times-Bold"/>
          <w:b/>
          <w:bCs/>
          <w:color w:val="000000"/>
          <w:sz w:val="20"/>
          <w:szCs w:val="20"/>
        </w:rPr>
        <w:br/>
      </w:r>
      <w:r w:rsidRPr="00187F60">
        <w:rPr>
          <w:rFonts w:ascii="Times-Roman" w:hAnsi="Times-Roman"/>
          <w:color w:val="000000"/>
          <w:sz w:val="20"/>
          <w:szCs w:val="20"/>
        </w:rPr>
        <w:t>The authors define information privacy as the ability of individuals to control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the terms under which their personal information is acquired and used (Westin,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1967). Personal information is information identifiable to an individual. Like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Westin, our definition of information privacy involves an implicit understanding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that privacy is not absolute; instead, the individual’s privacy interests are balanced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 xml:space="preserve">with the information needs of society at large. In a business context, the individual’s need for privacy must be balanced with the firm’s need </w:t>
      </w:r>
      <w:proofErr w:type="gramStart"/>
      <w:r w:rsidRPr="00187F60">
        <w:rPr>
          <w:rFonts w:ascii="Times-Roman" w:hAnsi="Times-Roman"/>
          <w:color w:val="000000"/>
          <w:sz w:val="20"/>
          <w:szCs w:val="20"/>
        </w:rPr>
        <w:t xml:space="preserve">to 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u</w:t>
      </w:r>
      <w:r w:rsidRPr="00187F60">
        <w:rPr>
          <w:rFonts w:ascii="Times-Roman" w:hAnsi="Times-Roman"/>
          <w:color w:val="000000"/>
          <w:sz w:val="20"/>
          <w:szCs w:val="20"/>
        </w:rPr>
        <w:t>nderstand</w:t>
      </w:r>
      <w:proofErr w:type="gramEnd"/>
      <w:r w:rsidRPr="00187F60">
        <w:rPr>
          <w:rFonts w:ascii="Times-Roman" w:hAnsi="Times-Roman"/>
          <w:color w:val="000000"/>
          <w:sz w:val="20"/>
          <w:szCs w:val="20"/>
        </w:rPr>
        <w:t xml:space="preserve"> as much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about its customers’ interactions with the firm as possible (Culnan et al., 1994;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Winer, 2001). Although we recognize the imperfections of this balancing paradigm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(Raab, 1999), we find it the most useful framework for analyzing contemporary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consumer privacy concerns.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br/>
        <w:t>To understand the basis of consumer privacy concerns, one must develop a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more robust conceptualization of consumer transactions. In the marketing literature, consumer transactions have traditionally been conceptualized in terms of a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single utilitarian exchange where value in the form of goods or services is given in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return for money or other goods (Bagozzi, 1975). Culnan and Milberg (1998) call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this exchange the “first exchange.” However, consumer transactions include also a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“second exchange” where the consumer makes a non-monetary exchange of their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personal information for value such as higher quality service and personalized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offers or discounts (Glazer, 1991; Milne &amp; Gordon, 1993). It is the second exchange that provides the ongoing flow of customer information needed to support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a marketing relationship and to run a business.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br/>
        <w:t>The second exchange is not new. Before customer databases existed, data from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the second exchange were maintained in ledgers or in the proprietor’s head. Technology, however, has transformed the information from the second exchange into a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competitive asset by connecting the point-of-sale to one or more databases (Lester,</w:t>
      </w:r>
      <w:r w:rsidRPr="00187F60">
        <w:rPr>
          <w:rFonts w:ascii="Times-Roman" w:hAnsi="Times-Roman"/>
          <w:color w:val="000000"/>
          <w:sz w:val="20"/>
          <w:szCs w:val="20"/>
        </w:rPr>
        <w:br/>
        <w:t>2001). As a result, organizations can compile detailed profiles about their operations and their customers. This allows organizations to more accurately match their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product or service offerings with their customers, and to develop loyalty programs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or other benefits for their customers (Winer, 2001). For firms and consumers to realize these benefits, however, consumers must be willing to disclose their personal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information and, thereby, surrender a measure of their privacy. We now turn our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attention to explaining the factors that make consumers willing to disclose their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personal information as part of the second exchange.</w:t>
      </w:r>
      <w:r w:rsidRPr="00187F60">
        <w:rPr>
          <w:rFonts w:ascii="Times-Roman" w:hAnsi="Times-Roman"/>
          <w:color w:val="000000"/>
          <w:sz w:val="20"/>
          <w:szCs w:val="20"/>
        </w:rPr>
        <w:br/>
      </w:r>
      <w:r w:rsidRPr="00187F60">
        <w:rPr>
          <w:rFonts w:ascii="Times-Bold" w:hAnsi="Times-Bold"/>
          <w:b/>
          <w:bCs/>
          <w:color w:val="000000"/>
          <w:sz w:val="20"/>
          <w:szCs w:val="20"/>
        </w:rPr>
        <w:t>Consumer Willingness to Disclose Personal Information:</w:t>
      </w:r>
      <w:r w:rsidR="00D65693">
        <w:rPr>
          <w:rFonts w:ascii="Times-Bold" w:hAnsi="Times-Bold"/>
          <w:b/>
          <w:bCs/>
          <w:color w:val="000000"/>
          <w:sz w:val="20"/>
          <w:szCs w:val="20"/>
        </w:rPr>
        <w:t xml:space="preserve"> </w:t>
      </w:r>
      <w:r w:rsidRPr="00187F60">
        <w:rPr>
          <w:rFonts w:ascii="Times-Bold" w:hAnsi="Times-Bold"/>
          <w:b/>
          <w:bCs/>
          <w:color w:val="000000"/>
          <w:sz w:val="20"/>
          <w:szCs w:val="20"/>
        </w:rPr>
        <w:t>A Justice Perspective</w:t>
      </w:r>
      <w:r w:rsidRPr="00187F60">
        <w:rPr>
          <w:rFonts w:ascii="Times-Bold" w:hAnsi="Times-Bold"/>
          <w:b/>
          <w:bCs/>
          <w:color w:val="000000"/>
          <w:sz w:val="20"/>
          <w:szCs w:val="20"/>
        </w:rPr>
        <w:br/>
      </w:r>
      <w:r w:rsidRPr="00187F60">
        <w:rPr>
          <w:rFonts w:ascii="Times-Roman" w:hAnsi="Times-Roman"/>
          <w:color w:val="000000"/>
          <w:sz w:val="20"/>
          <w:szCs w:val="20"/>
        </w:rPr>
        <w:t>Laufer and Wolfe (1977) hypothesized that individuals should be willing to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Pr="00187F60">
        <w:rPr>
          <w:rFonts w:ascii="Times-Roman" w:hAnsi="Times-Roman"/>
          <w:color w:val="000000"/>
          <w:sz w:val="20"/>
          <w:szCs w:val="20"/>
        </w:rPr>
        <w:t>disclose personal information in exchange for some economic or social benefit</w:t>
      </w:r>
      <w:r w:rsidR="00D65693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subject to an assessment that their personal information will subsequently be used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fairly and they will not suffer negative consequences in the future. The findings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of the self-</w:t>
      </w:r>
      <w:r w:rsidR="00351A11" w:rsidRPr="00351A11">
        <w:rPr>
          <w:rFonts w:ascii="Times-Roman" w:hAnsi="Times-Roman"/>
          <w:color w:val="000000"/>
          <w:sz w:val="20"/>
          <w:szCs w:val="20"/>
        </w:rPr>
        <w:lastRenderedPageBreak/>
        <w:t>disclosure literature, although it has focused on interpersonal and not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commercial contexts, are consistent regarding a balancing test. People disclose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personal information to gain the benefits of a relationship; the benefits of disclosure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are balanced with an assessment of the risks of disclosure (Derlega, Metts, Petronio,</w:t>
      </w:r>
      <w:r w:rsidR="00351A11" w:rsidRPr="00351A11">
        <w:rPr>
          <w:rFonts w:ascii="Times-Roman" w:hAnsi="Times-Roman"/>
          <w:color w:val="000000"/>
          <w:sz w:val="20"/>
          <w:szCs w:val="20"/>
        </w:rPr>
        <w:br/>
        <w:t>&amp; Margulis, 1993). In other words, individuals will exchange personal information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as long as they perceive adequate benefits will be received in return—that is,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benefits which exceed the perceived risks of information disclosure (Thibaut &amp;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Kelley, 1959).</w:t>
      </w:r>
      <w:r w:rsidR="00351A11" w:rsidRPr="00351A11">
        <w:rPr>
          <w:rFonts w:ascii="Times-Roman" w:hAnsi="Times-Roman"/>
          <w:color w:val="000000"/>
          <w:sz w:val="20"/>
          <w:szCs w:val="20"/>
        </w:rPr>
        <w:br/>
        <w:t>This social exchange perspective also applies to a consumer context. Specifically, consumers behave as if they are performing a “cost-benefit” analysis, or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what we refer to as the “privacy calculus” (cf. Laufer &amp; Wolfe, 1977), in assessing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the outcomes they receive as the result of providing personal information to organizations</w:t>
      </w:r>
      <w:proofErr w:type="gramStart"/>
      <w:r w:rsidR="00351A11" w:rsidRPr="00351A11">
        <w:rPr>
          <w:rFonts w:ascii="Times-Roman" w:hAnsi="Times-Roman"/>
          <w:color w:val="000000"/>
          <w:sz w:val="20"/>
          <w:szCs w:val="20"/>
        </w:rPr>
        <w:t xml:space="preserve"> 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 (</w:t>
      </w:r>
      <w:proofErr w:type="gramEnd"/>
      <w:r w:rsidR="00351A11" w:rsidRPr="00351A11">
        <w:rPr>
          <w:rFonts w:ascii="Times-Roman" w:hAnsi="Times-Roman"/>
          <w:color w:val="000000"/>
          <w:sz w:val="20"/>
          <w:szCs w:val="20"/>
        </w:rPr>
        <w:t>Culnan, 1995). Based on such an analysis, a positive net outcome should</w:t>
      </w:r>
      <w:r w:rsidR="000C6EA8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 xml:space="preserve">mean people are more likely to accept the loss of privacy that accompanies </w:t>
      </w:r>
      <w:r w:rsidR="00351A11" w:rsidRPr="00351A11">
        <w:rPr>
          <w:rFonts w:ascii="Times-Italic" w:hAnsi="Times-Italic"/>
          <w:i/>
          <w:iCs/>
          <w:color w:val="000000"/>
          <w:sz w:val="20"/>
          <w:szCs w:val="20"/>
        </w:rPr>
        <w:t xml:space="preserve">any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disclosure of personal information as long as an acceptable level of risk accompanies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the benefits. However, this proposition has not been tested empirically.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Creating a willingness in consumers to disclose personal information, then,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requires that organizations manage the second exchange strategically. Consumers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should continue to disclose personal information as long as they perceive that they</w:t>
      </w:r>
      <w:r w:rsidR="00351A11" w:rsidRPr="00351A11">
        <w:rPr>
          <w:rFonts w:ascii="Times-Roman" w:hAnsi="Times-Roman"/>
          <w:color w:val="000000"/>
          <w:sz w:val="20"/>
          <w:szCs w:val="20"/>
        </w:rPr>
        <w:br/>
        <w:t>receive benefits that exceed the current or future risks of disclosure. Implied here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is an expectation that organizations not only need to offer benefits that consumers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find attractive, but they also need to be open and honest about their information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practices so that consumers both perceive disclosure to be a low risk proposition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and, also, can make an informed choice about whether or not to disclose. Following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Donaldson and Dunfee (1999), we argue that creating willingness in consumers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to disclose personal information requires that the second exchange be based on a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fair social contract. Developing information practices that address the perceived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risk of disclosure should result in positive experiences with the organization over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time, increasing the consumer’s perceptions that the organization can be trusted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(Brockner, 2002).</w:t>
      </w:r>
      <w:r w:rsidR="00351A11" w:rsidRPr="00351A11">
        <w:rPr>
          <w:rFonts w:ascii="Times-Roman" w:hAnsi="Times-Roman"/>
          <w:color w:val="000000"/>
          <w:sz w:val="20"/>
          <w:szCs w:val="20"/>
        </w:rPr>
        <w:br/>
        <w:t>Trust reflects a willingness to assume the risks of disclosure (Mayer, Davis, &amp;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Schoorman, 1995). Trust creates switching costs, that is, increases in the costs or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effort associated with changing firms, increasing the likelihood that the consumer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 xml:space="preserve">will continue in the relationship with the firm (Gundlach &amp; Murphy, 1993). Managing the second exchange in </w:t>
      </w:r>
      <w:proofErr w:type="gramStart"/>
      <w:r w:rsidR="00351A11" w:rsidRPr="00351A11">
        <w:rPr>
          <w:rFonts w:ascii="Times-Roman" w:hAnsi="Times-Roman"/>
          <w:color w:val="000000"/>
          <w:sz w:val="20"/>
          <w:szCs w:val="20"/>
        </w:rPr>
        <w:t>a</w:t>
      </w:r>
      <w:proofErr w:type="gramEnd"/>
      <w:r w:rsidR="00351A11" w:rsidRPr="00351A11">
        <w:rPr>
          <w:rFonts w:ascii="Times-Roman" w:hAnsi="Times-Roman"/>
          <w:color w:val="000000"/>
          <w:sz w:val="20"/>
          <w:szCs w:val="20"/>
        </w:rPr>
        <w:t xml:space="preserve"> consumer transaction by treating the consumer’s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personal information fairly, then, is essential to building trust in a customer relationship. To sustain trust, the organization’s practices as perceived by the consumer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must be consistent with the policies it disclosed. But the violation of that trust,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through a breach of the organization’s information practices (e.g., an unwarranted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351A11" w:rsidRPr="00351A11">
        <w:rPr>
          <w:rFonts w:ascii="Times-Roman" w:hAnsi="Times-Roman"/>
          <w:color w:val="000000"/>
          <w:sz w:val="20"/>
          <w:szCs w:val="20"/>
        </w:rPr>
        <w:t>disclosure of personal information to a third party), might create some consumer</w:t>
      </w:r>
      <w:r w:rsidR="00F66EC9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ambivalence about disclosing personal information in the future as well as raising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concerns about the integrity of the organization’s information practices (Harris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Interactive, 2002; Lewicki, McAllister, &amp; Bies, 1998).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br/>
        <w:t>We propose that a justice perspective provides a useful theoretical framework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for analyzing consumer privacy concerns (Culnan, 1995; Culnan et al., 1994).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Indeed, there is evidence that fairness perceptions influence a consumer’s willingness to disclose personal information (Culnan &amp; Armstrong, 1999). There are three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types of justice perceptions relevant to consumer privacy—distributive, procedural, and interactional—and the violation of any these justice factors may arouse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privacy concerns.</w:t>
      </w:r>
      <w:r w:rsidR="008A573E" w:rsidRPr="008A573E">
        <w:rPr>
          <w:rFonts w:ascii="Times-Roman" w:hAnsi="Times-Roman"/>
          <w:color w:val="000000"/>
          <w:sz w:val="20"/>
          <w:szCs w:val="20"/>
        </w:rPr>
        <w:br/>
      </w:r>
      <w:r w:rsidR="008A573E" w:rsidRPr="00A16BDE">
        <w:rPr>
          <w:rFonts w:ascii="Times-Italic" w:hAnsi="Times-Italic"/>
          <w:b/>
          <w:i/>
          <w:iCs/>
          <w:color w:val="000000"/>
          <w:sz w:val="20"/>
          <w:szCs w:val="20"/>
        </w:rPr>
        <w:t>Distributive Justice</w:t>
      </w:r>
      <w:r w:rsidR="008A573E" w:rsidRPr="008A573E">
        <w:rPr>
          <w:rFonts w:ascii="Times-Italic" w:hAnsi="Times-Italic"/>
          <w:i/>
          <w:iCs/>
          <w:color w:val="000000"/>
          <w:sz w:val="20"/>
          <w:szCs w:val="20"/>
        </w:rPr>
        <w:br/>
      </w:r>
      <w:r w:rsidR="008A573E" w:rsidRPr="008A573E">
        <w:rPr>
          <w:rFonts w:ascii="Times-Roman" w:hAnsi="Times-Roman"/>
          <w:color w:val="000000"/>
          <w:sz w:val="20"/>
          <w:szCs w:val="20"/>
        </w:rPr>
        <w:t>Fundamentally, distributive justice is concerned with the perceived fairness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of outcomes that one receives (Homans, 1961). Much like the social exchange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perspective, there is an analysis of costs and benefits, such that what one gives up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in terms of personal information is commensurate with what is received in return.</w:t>
      </w:r>
      <w:r w:rsidR="008A573E" w:rsidRPr="008A573E">
        <w:rPr>
          <w:rFonts w:ascii="Times-Roman" w:hAnsi="Times-Roman"/>
          <w:color w:val="000000"/>
          <w:sz w:val="20"/>
          <w:szCs w:val="20"/>
        </w:rPr>
        <w:br/>
        <w:t xml:space="preserve">Thus, there is some notion of a “fair exchange” governing the information disclosure process. But perceptions of 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  d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istributive justice involve a social comparison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process also (Adams, 1965), such that consumers may compare the outcomes they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receive from different corporations for providing similar personal information.</w:t>
      </w:r>
      <w:r w:rsidR="008A573E" w:rsidRPr="008A573E">
        <w:rPr>
          <w:rFonts w:ascii="Times-Roman" w:hAnsi="Times-Roman"/>
          <w:color w:val="000000"/>
          <w:sz w:val="20"/>
          <w:szCs w:val="20"/>
        </w:rPr>
        <w:br/>
      </w:r>
      <w:r w:rsidR="008A573E" w:rsidRPr="00A16BDE">
        <w:rPr>
          <w:rFonts w:ascii="Times-Italic" w:hAnsi="Times-Italic"/>
          <w:b/>
          <w:i/>
          <w:iCs/>
          <w:color w:val="000000"/>
          <w:sz w:val="20"/>
          <w:szCs w:val="20"/>
        </w:rPr>
        <w:t>Procedural Justice</w:t>
      </w:r>
      <w:r w:rsidR="008A573E" w:rsidRPr="008A573E">
        <w:rPr>
          <w:rFonts w:ascii="Times-Italic" w:hAnsi="Times-Italic"/>
          <w:i/>
          <w:iCs/>
          <w:color w:val="000000"/>
          <w:sz w:val="20"/>
          <w:szCs w:val="20"/>
        </w:rPr>
        <w:br/>
      </w:r>
      <w:r w:rsidR="008A573E" w:rsidRPr="008A573E">
        <w:rPr>
          <w:rFonts w:ascii="Times-Roman" w:hAnsi="Times-Roman"/>
          <w:color w:val="000000"/>
          <w:sz w:val="20"/>
          <w:szCs w:val="20"/>
        </w:rPr>
        <w:t>Procedural justice refers to the perceived fairness of the procedures (Thibaut &amp;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Walker, 1975), and how those procedures are enacted (Leventhal, 1980). A variety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of factors can shape perceptions of procedural fairness (Folger &amp; Greenberg, 1985;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Lind &amp; Tyler, 1988). Of particular relevance to consumer privacy is control over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the information disclosure, or what has been referred to as “voice” (Greenberg &amp;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Folger, 1983). For consumer marketing, a central element of procedural fairness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is the ability of individuals to remove their names from marketing lists before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they are used or shared. In the offline world, this is typically done using an “optout” where a consumer’s information will be used for marketing unless he or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she objects. On the Internet, this choice is beginning to be offered as an “opt-in”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where, unless the consumer explicitly consents, his or her name will be excluded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from future marketing offers. Opt-in provides an assurance that the individual is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a willing receiver of marketing messages (Godin, 1999). Name removal, then,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provides consumers with one means to exercise control over how information they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>provide for a specific purpose will subsequently be used.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 xml:space="preserve">There are other procedural </w:t>
      </w:r>
      <w:r w:rsidR="008A573E" w:rsidRPr="008A573E">
        <w:rPr>
          <w:rFonts w:ascii="Times-Roman" w:hAnsi="Times-Roman"/>
          <w:color w:val="000000"/>
          <w:sz w:val="20"/>
          <w:szCs w:val="20"/>
        </w:rPr>
        <w:lastRenderedPageBreak/>
        <w:t>factors relevant to consumer privacy such as awareness or knowledge of the procedure and how it works (Folger &amp; Bies, 1989). Culnan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8A573E" w:rsidRPr="008A573E">
        <w:rPr>
          <w:rFonts w:ascii="Times-Roman" w:hAnsi="Times-Roman"/>
          <w:color w:val="000000"/>
          <w:sz w:val="20"/>
          <w:szCs w:val="20"/>
        </w:rPr>
        <w:t xml:space="preserve">(1995) found that people who were aware of name removal procedures had a </w:t>
      </w:r>
      <w:proofErr w:type="gramStart"/>
      <w:r w:rsidR="008A573E" w:rsidRPr="008A573E">
        <w:rPr>
          <w:rFonts w:ascii="Times-Roman" w:hAnsi="Times-Roman"/>
          <w:color w:val="000000"/>
          <w:sz w:val="20"/>
          <w:szCs w:val="20"/>
        </w:rPr>
        <w:t>lower</w:t>
      </w:r>
      <w:r w:rsidR="00A16BDE">
        <w:rPr>
          <w:rFonts w:ascii="Times-Roman" w:hAnsi="Times-Roman"/>
          <w:color w:val="000000"/>
          <w:sz w:val="20"/>
          <w:szCs w:val="20"/>
        </w:rPr>
        <w:t xml:space="preserve"> 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c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oncern</w:t>
      </w:r>
      <w:proofErr w:type="gramEnd"/>
      <w:r w:rsidR="00B853BB" w:rsidRPr="00B853BB">
        <w:rPr>
          <w:rFonts w:ascii="Times-Roman" w:hAnsi="Times-Roman"/>
          <w:color w:val="000000"/>
          <w:sz w:val="20"/>
          <w:szCs w:val="20"/>
        </w:rPr>
        <w:t xml:space="preserve"> for privacy than those who were not aware of these procedures, suggesting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that awareness of fairness procedures can address the privacy concerns potentially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raised by the second exchange (Greenberg, 1987). Culnan and Armstrong (1999)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found privacy concerns do not distinguish consumers who are willing from those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who are not willing to have the personal information they disclosed used in target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marketing when these consumers are explicitly told that an organization observes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fair information practices. This suggests that organizations can address consumer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privacy concerns by observing fair information practices. In other words, if consumers believe that a firm observes fair information practices but are still unwilling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to have their personal information used for marketing, factors other than privacy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drive this unwillingness.</w:t>
      </w:r>
      <w:r w:rsidR="00B853BB" w:rsidRPr="00B853BB">
        <w:rPr>
          <w:rFonts w:ascii="Times-Roman" w:hAnsi="Times-Roman"/>
          <w:color w:val="000000"/>
          <w:sz w:val="20"/>
          <w:szCs w:val="20"/>
        </w:rPr>
        <w:br/>
        <w:t>One such factor may be trust, which is an essential element of all exchange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relationships (Lewicki et al., 1998). As the preceding discussion illustrates, organizations often adopt “legalistic” remedies, such as formal rules or procedures, in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response to low levels of trust in exchange relationships (Sitkin &amp; Roth, 1993),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which is often the case in the consumer marketing context. But, as we will discuss later in the article, the effectiveness of legalistic remedies may be limited in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addressing trust problems.</w:t>
      </w:r>
      <w:r w:rsidR="00B853BB" w:rsidRPr="00B853BB">
        <w:rPr>
          <w:rFonts w:ascii="Times-Roman" w:hAnsi="Times-Roman"/>
          <w:color w:val="000000"/>
          <w:sz w:val="20"/>
          <w:szCs w:val="20"/>
        </w:rPr>
        <w:br/>
      </w:r>
      <w:r w:rsidR="00B853BB" w:rsidRPr="00B853BB">
        <w:rPr>
          <w:rFonts w:ascii="Times-Italic" w:hAnsi="Times-Italic"/>
          <w:i/>
          <w:iCs/>
          <w:color w:val="000000"/>
          <w:sz w:val="20"/>
          <w:szCs w:val="20"/>
        </w:rPr>
        <w:t>Interactional Justice</w:t>
      </w:r>
      <w:r w:rsidR="00B853BB" w:rsidRPr="00B853BB">
        <w:rPr>
          <w:rFonts w:ascii="Times-Italic" w:hAnsi="Times-Italic"/>
          <w:i/>
          <w:iCs/>
          <w:color w:val="000000"/>
          <w:sz w:val="20"/>
          <w:szCs w:val="20"/>
        </w:rPr>
        <w:br/>
      </w:r>
      <w:r w:rsidR="00B853BB" w:rsidRPr="00B853BB">
        <w:rPr>
          <w:rFonts w:ascii="Times-Roman" w:hAnsi="Times-Roman"/>
          <w:color w:val="000000"/>
          <w:sz w:val="20"/>
          <w:szCs w:val="20"/>
        </w:rPr>
        <w:t>More recently, justice researchers have focused their attention on interactional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justice (Bies, 2001). Interactional justice refers to the fairness of interpersonal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treatment that an individual receives from another (Bies &amp; Moag, 1986). In the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context of the consumer transaction, the methods used by corporations in gathering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the information from consumers, and how consumers are treated interpersonally,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can shape their reactions.</w:t>
      </w:r>
      <w:r w:rsidR="00B853BB" w:rsidRPr="00B853BB">
        <w:rPr>
          <w:rFonts w:ascii="Times-Roman" w:hAnsi="Times-Roman"/>
          <w:color w:val="000000"/>
          <w:sz w:val="20"/>
          <w:szCs w:val="20"/>
        </w:rPr>
        <w:br/>
        <w:t>Bies (2001) identifies a variety of interactional factors that might shape consumer privacy concerns. One such variable is honesty and fulfillment of promises.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An expectation of honesty and fulfilled promises in dealings with others is a foundation of trust in a relationship (Lewicki et al., 1998). Trusting another person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leaves one vulnerable in the relationship (Mayer et al., 1995). If that vulnerability is misused, as when people are deceived or when the corporation breaks its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promises, this should raise consumer privacy concerns.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 xml:space="preserve">Bies (2001) identifies, also, the unwarranted disclosure of personal information as </w:t>
      </w:r>
      <w:proofErr w:type="gramStart"/>
      <w:r w:rsidR="00B853BB" w:rsidRPr="00B853BB">
        <w:rPr>
          <w:rFonts w:ascii="Times-Roman" w:hAnsi="Times-Roman"/>
          <w:color w:val="000000"/>
          <w:sz w:val="20"/>
          <w:szCs w:val="20"/>
        </w:rPr>
        <w:t>a</w:t>
      </w:r>
      <w:proofErr w:type="gramEnd"/>
      <w:r w:rsidR="00B853BB" w:rsidRPr="00B853BB">
        <w:rPr>
          <w:rFonts w:ascii="Times-Roman" w:hAnsi="Times-Roman"/>
          <w:color w:val="000000"/>
          <w:sz w:val="20"/>
          <w:szCs w:val="20"/>
        </w:rPr>
        <w:t xml:space="preserve"> source of privacy concerns. It is just not whether the disclosure was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authorized, but to whom the information was disclosed, and the nature of the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information that was disclosed. If the consumer information disclosure was not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authorized (e.g., “cookies”), or disclosure to specific parties was not authorized, or</w:t>
      </w:r>
      <w:r w:rsidR="0018082C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the information was considered sensitive (e.g., prescription data, Social Security</w:t>
      </w:r>
      <w:r w:rsidR="003F60B1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number), then consumer privacy concerns will be more salient (Cranor, Reagle, &amp;</w:t>
      </w:r>
      <w:r w:rsidR="003F60B1">
        <w:rPr>
          <w:rFonts w:ascii="Times-Roman" w:hAnsi="Times-Roman"/>
          <w:color w:val="000000"/>
          <w:sz w:val="20"/>
          <w:szCs w:val="20"/>
        </w:rPr>
        <w:t xml:space="preserve"> </w:t>
      </w:r>
      <w:r w:rsidR="00B853BB" w:rsidRPr="00B853BB">
        <w:rPr>
          <w:rFonts w:ascii="Times-Roman" w:hAnsi="Times-Roman"/>
          <w:color w:val="000000"/>
          <w:sz w:val="20"/>
          <w:szCs w:val="20"/>
        </w:rPr>
        <w:t>Ackerman, 1999).</w:t>
      </w:r>
    </w:p>
    <w:p w:rsidR="00264DE3" w:rsidRDefault="00CE5D75">
      <w:pPr>
        <w:rPr>
          <w:rFonts w:ascii="Times-Roman" w:hAnsi="Times-Roman"/>
          <w:color w:val="000000"/>
          <w:sz w:val="20"/>
          <w:szCs w:val="20"/>
        </w:rPr>
      </w:pPr>
      <w:r w:rsidRPr="00CE5D75">
        <w:rPr>
          <w:rFonts w:ascii="Times-Italic" w:hAnsi="Times-Italic"/>
          <w:i/>
          <w:iCs/>
          <w:color w:val="000000"/>
          <w:sz w:val="20"/>
          <w:szCs w:val="20"/>
        </w:rPr>
        <w:t>From the Psychology of Justice to Fair Information Practices</w:t>
      </w:r>
      <w:r w:rsidRPr="00CE5D75">
        <w:rPr>
          <w:rFonts w:ascii="Times-Italic" w:hAnsi="Times-Italic"/>
          <w:i/>
          <w:iCs/>
          <w:color w:val="000000"/>
          <w:sz w:val="20"/>
          <w:szCs w:val="20"/>
        </w:rPr>
        <w:br/>
      </w:r>
      <w:r w:rsidRPr="00CE5D75">
        <w:rPr>
          <w:rFonts w:ascii="Times-Roman" w:hAnsi="Times-Roman"/>
          <w:color w:val="000000"/>
          <w:sz w:val="20"/>
          <w:szCs w:val="20"/>
        </w:rPr>
        <w:t>In the context of consumer privacy, fair information practices address justice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concerns. Fair information practices are procedures that provide individuals with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control over the disclosure and subsequent use of their personal information and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govern the interpersonal treatment that consumers receive (Organization for Economic Cooperation and Development [OECD], 1980; U.S. Department of Health,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Education and Welfare, 1973). Fair information practices balance the competing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business and consumer interests around the use of the consumer’s personal information and serve as the basis for privacy laws in the United States and elsewhere.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Although the OECD’s (1980) Guidelines reflect global norms for the ethical use of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personal information, the actual coverage and implementation of fair information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practices in the United States and elsewhere varies, reflecting cultural and legal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differences (Milberg, Burke, Smith, &amp; Kallman, 1995).</w:t>
      </w:r>
      <w:r w:rsidRPr="00CE5D75">
        <w:rPr>
          <w:rFonts w:ascii="Times-Roman" w:hAnsi="Times-Roman"/>
          <w:color w:val="000000"/>
          <w:sz w:val="20"/>
          <w:szCs w:val="20"/>
        </w:rPr>
        <w:br/>
        <w:t>Currently, the most widely accepted U.S. definition of fair information practices reflects a subset of the OECD Guidelines and is based on four elements: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notice, choice, access, and security (Federal Trade Commission [FTC], 2000).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br/>
        <w:t>Notice means that when individuals provide personal information, they have the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right to know what, if any, information is being collected and how it will be used.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Choice means that individuals should have the right to object when personal information is collected for one purpose and will be used for other unrelated purposes</w:t>
      </w:r>
      <w:r w:rsidRPr="00CE5D75">
        <w:rPr>
          <w:rFonts w:ascii="Times-Roman" w:hAnsi="Times-Roman"/>
          <w:color w:val="000000"/>
          <w:sz w:val="20"/>
          <w:szCs w:val="20"/>
        </w:rPr>
        <w:br/>
        <w:t>or shared with third parties, unless this sharing is required by law. Access means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that individuals should have the right to see their information and correct errors.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Security means that organizations should be good stewards of personal information by ensuring data integrity and that data are secure from unauthorized access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during both transmission and storage. Finally, a reliable mechanism should exist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to impose sanctions for noncompliance with these principles (FTC, 2000).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 xml:space="preserve">Fair information practices, therefore, mediate privacy concerns raised </w:t>
      </w:r>
      <w:proofErr w:type="gramStart"/>
      <w:r w:rsidRPr="00CE5D75">
        <w:rPr>
          <w:rFonts w:ascii="Times-Roman" w:hAnsi="Times-Roman"/>
          <w:color w:val="000000"/>
          <w:sz w:val="20"/>
          <w:szCs w:val="20"/>
        </w:rPr>
        <w:t xml:space="preserve">by 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d</w:t>
      </w:r>
      <w:r w:rsidRPr="00CE5D75">
        <w:rPr>
          <w:rFonts w:ascii="Times-Roman" w:hAnsi="Times-Roman"/>
          <w:color w:val="000000"/>
          <w:sz w:val="20"/>
          <w:szCs w:val="20"/>
        </w:rPr>
        <w:t>isclosure</w:t>
      </w:r>
      <w:proofErr w:type="gramEnd"/>
      <w:r w:rsidRPr="00CE5D75">
        <w:rPr>
          <w:rFonts w:ascii="Times-Roman" w:hAnsi="Times-Roman"/>
          <w:color w:val="000000"/>
          <w:sz w:val="20"/>
          <w:szCs w:val="20"/>
        </w:rPr>
        <w:t xml:space="preserve"> and subsequent use of personal information by empowering the individual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 xml:space="preserve">with control and voice, </w:t>
      </w:r>
      <w:r w:rsidRPr="00CE5D75">
        <w:rPr>
          <w:rFonts w:ascii="Times-Italic" w:hAnsi="Times-Italic"/>
          <w:i/>
          <w:iCs/>
          <w:color w:val="000000"/>
          <w:sz w:val="20"/>
          <w:szCs w:val="20"/>
        </w:rPr>
        <w:t xml:space="preserve">even if people do not choose to invoke the procedures. </w:t>
      </w:r>
      <w:r w:rsidRPr="00CE5D75">
        <w:rPr>
          <w:rFonts w:ascii="Times-Roman" w:hAnsi="Times-Roman"/>
          <w:color w:val="000000"/>
          <w:sz w:val="20"/>
          <w:szCs w:val="20"/>
        </w:rPr>
        <w:t>Fair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information practices also provide an assurance that the organization will adhere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to a set of principles that most consumers find acceptable (Folger &amp; Bies, 1989;</w:t>
      </w:r>
      <w:r w:rsidRPr="00CE5D75">
        <w:rPr>
          <w:rFonts w:ascii="Times-Roman" w:hAnsi="Times-Roman"/>
          <w:color w:val="000000"/>
          <w:sz w:val="20"/>
          <w:szCs w:val="20"/>
        </w:rPr>
        <w:br/>
        <w:t>Folger &amp; Greenberg, 1985). Fair information practices serve as the basis for a</w:t>
      </w:r>
      <w:r w:rsidR="00B73C3D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 xml:space="preserve">fair social contract with consumers </w:t>
      </w:r>
      <w:r w:rsidRPr="00CE5D75">
        <w:rPr>
          <w:rFonts w:ascii="Times-Roman" w:hAnsi="Times-Roman"/>
          <w:color w:val="000000"/>
          <w:sz w:val="20"/>
          <w:szCs w:val="20"/>
        </w:rPr>
        <w:lastRenderedPageBreak/>
        <w:t>as they provide for both consent and choice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(Donaldson &amp; Dunfee, 1999), and also outline reasonable outcome expectations.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Fair information practices, then, if followed, signal to the consumer that the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firm can be trusted with the information he or she disclosed through the second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exchange (Spence, 1974). This signaling function performed by fair information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practices is particularly important in consumer relationships because these relationships are usually characterized by great social distance: Consumers may not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Pr="00CE5D75">
        <w:rPr>
          <w:rFonts w:ascii="Times-Roman" w:hAnsi="Times-Roman"/>
          <w:color w:val="000000"/>
          <w:sz w:val="20"/>
          <w:szCs w:val="20"/>
        </w:rPr>
        <w:t>deal with another person in the case of the Internet, or are unlikely to personally know any of the people with whom they deal in the case of face-to-face or</w:t>
      </w:r>
      <w:r w:rsidR="000B2F62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telephone transactions. Because, in consumer relationships, individuals must depend on strangers to act on their behalf, fair information practices can overcome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distrust since they provide an assurance to the consumer that the organization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through its employees will not behave opportunistically with consumers (Bradach</w:t>
      </w:r>
      <w:r w:rsidR="00A52487" w:rsidRPr="00A52487">
        <w:rPr>
          <w:rFonts w:ascii="Times-Roman" w:hAnsi="Times-Roman"/>
          <w:color w:val="000000"/>
          <w:sz w:val="20"/>
          <w:szCs w:val="20"/>
        </w:rPr>
        <w:br/>
        <w:t>&amp; Eccles, 1989; Shapiro, 1987). This is particularly important when consumers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do not have first-hand experience with the organization, because first-hand experience is one basis for building trust. For example, 71% of survey respondents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reported that they would be willing to disclose the personal information requested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 xml:space="preserve">by </w:t>
      </w:r>
      <w:proofErr w:type="gramStart"/>
      <w:r w:rsidR="00A52487" w:rsidRPr="00A52487">
        <w:rPr>
          <w:rFonts w:ascii="Times-Roman" w:hAnsi="Times-Roman"/>
          <w:color w:val="000000"/>
          <w:sz w:val="20"/>
          <w:szCs w:val="20"/>
        </w:rPr>
        <w:t>a</w:t>
      </w:r>
      <w:proofErr w:type="gramEnd"/>
      <w:r w:rsidR="00A52487" w:rsidRPr="00A52487">
        <w:rPr>
          <w:rFonts w:ascii="Times-Roman" w:hAnsi="Times-Roman"/>
          <w:color w:val="000000"/>
          <w:sz w:val="20"/>
          <w:szCs w:val="20"/>
        </w:rPr>
        <w:t xml:space="preserve"> Web site if they had an existing relationship with the same organization in the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offline world (Louis Harris &amp; Westin, 1997).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In addition to serving as one tool to manage the privacy risks of disclosure,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privacy notices, where organizations describe their information practices, should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also promote the efficiency of the marketplace. Privacy notices, like product labels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and other forms of information, promote consumer choice by allowing people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to make more informed choices about disclosing their personal information, or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even whether or not to initiate a relationship with one organization versus its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competitors (Beales, Craswell, &amp; Salop, 1981; Bettman, 1979). The issue that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remains is the appropriate role for government, self-regulation, and technology to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insure that the appropriate information is available, accurate, and understandable,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and that consumers have legitimate choices about how their personal information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is subsequently used (Godin, 1999; Hadden, 1986).</w:t>
      </w:r>
      <w:r w:rsidR="00A52487" w:rsidRPr="00A52487">
        <w:rPr>
          <w:rFonts w:ascii="Times-Roman" w:hAnsi="Times-Roman"/>
          <w:color w:val="000000"/>
          <w:sz w:val="20"/>
          <w:szCs w:val="20"/>
        </w:rPr>
        <w:br/>
      </w:r>
      <w:r w:rsidR="00A52487" w:rsidRPr="00A52487">
        <w:rPr>
          <w:rFonts w:ascii="Times-Bold" w:hAnsi="Times-Bold"/>
          <w:b/>
          <w:bCs/>
          <w:color w:val="000000"/>
          <w:sz w:val="20"/>
          <w:szCs w:val="20"/>
        </w:rPr>
        <w:t>Implementing Fair Information Practices: Three Different Approaches</w:t>
      </w:r>
      <w:r w:rsidR="00A52487" w:rsidRPr="00A52487">
        <w:rPr>
          <w:rFonts w:ascii="Times-Bold" w:hAnsi="Times-Bold"/>
          <w:b/>
          <w:bCs/>
          <w:color w:val="000000"/>
          <w:sz w:val="20"/>
          <w:szCs w:val="20"/>
        </w:rPr>
        <w:br/>
      </w:r>
      <w:r w:rsidR="00A52487" w:rsidRPr="00A52487">
        <w:rPr>
          <w:rFonts w:ascii="Times-Roman" w:hAnsi="Times-Roman"/>
          <w:color w:val="000000"/>
          <w:sz w:val="20"/>
          <w:szCs w:val="20"/>
        </w:rPr>
        <w:t>Although in many quarters there is consensus in principle that the aforementioned elements of fair information practices should be used to protect consumer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privacy, there is no consensus about how they should be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implemented (Cranor et al.,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1999; FTC, 2000). Two issues are relevant here. First, what is the appropriate mix</w:t>
      </w:r>
      <w:r w:rsidR="00A52487" w:rsidRPr="00A52487">
        <w:rPr>
          <w:rFonts w:ascii="Times-Roman" w:hAnsi="Times-Roman"/>
          <w:color w:val="000000"/>
          <w:sz w:val="20"/>
          <w:szCs w:val="20"/>
        </w:rPr>
        <w:br/>
        <w:t>of law, self-regulation, and technological solutions in protecting privacy? In most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of the developed world (e.g., Europe), fair information practices are implemented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primarily through omnibus laws. In the United States, however, for consumer privacy, fair information practices are implemented though a combination of laws,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self-regulation and technological solutions (Schwartz &amp; Reidenberg, 1996).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Second, how should the basic elements of fair information practices, that is,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notice, choice, access, and security, be operationalized across the three implementation methods? What constitutes effective notice and how and when should it be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delivered to consumers? Can the same disclosure meet both the consumer information and legal compliance requirements of notice? What constitutes incompatible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use of personal information collected for a particular purpose (meaning choice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needs to be offered), and should choice take the form of “opt-in” or “opt-out”?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Clearly sharing personal information with third parties requires choice, but what</w:t>
      </w:r>
      <w:r w:rsidR="007521F6">
        <w:rPr>
          <w:rFonts w:ascii="Times-Roman" w:hAnsi="Times-Roman"/>
          <w:color w:val="000000"/>
          <w:sz w:val="20"/>
          <w:szCs w:val="20"/>
        </w:rPr>
        <w:t xml:space="preserve"> </w:t>
      </w:r>
      <w:r w:rsidR="00A52487" w:rsidRPr="00A52487">
        <w:rPr>
          <w:rFonts w:ascii="Times-Roman" w:hAnsi="Times-Roman"/>
          <w:color w:val="000000"/>
          <w:sz w:val="20"/>
          <w:szCs w:val="20"/>
        </w:rPr>
        <w:t>about sharing information among affiliated companies with the same corporate</w:t>
      </w:r>
      <w:r w:rsidR="00C87919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parents for offerings that are unrelated to the original transaction? What kinds of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  <w:t>information should be included under access? Should consumers have access to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all information that the organization has acquired or inferred about them, or only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the information related to their transactions with the firm? What constitutes appropriate security for a small business versus a large corporation and how specific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  <w:t>should this disclosure be to promote consumer trust without providing a roadmap to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hackers? These questions characterize the current policy debates about consumer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privacy.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  <w:t>Currently, most of these discussions on different approaches to implementing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fair information practices have focused on Internet privacy. When marketing moves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online, the Internet creates new opportunities for gathering personal information,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such as the ability to track an individual’s browsing patterns independent of making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 purchase, that do not exist in the offline world. We now turn our attention to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three different approaches to implementing fair information practices: legislation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and government regulation, self-regulation, and technological solutions.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</w:r>
      <w:r w:rsidR="009A0F46" w:rsidRPr="00B20183">
        <w:rPr>
          <w:rFonts w:ascii="Times-Italic" w:hAnsi="Times-Italic"/>
          <w:b/>
          <w:i/>
          <w:iCs/>
          <w:color w:val="000000"/>
          <w:sz w:val="20"/>
          <w:szCs w:val="20"/>
        </w:rPr>
        <w:t>Legislation and Government Regulation</w:t>
      </w:r>
      <w:r w:rsidR="009A0F46" w:rsidRPr="00B20183">
        <w:rPr>
          <w:rFonts w:ascii="Times-Italic" w:hAnsi="Times-Italic"/>
          <w:b/>
          <w:i/>
          <w:iCs/>
          <w:color w:val="000000"/>
          <w:sz w:val="20"/>
          <w:szCs w:val="20"/>
        </w:rPr>
        <w:br/>
      </w:r>
      <w:r w:rsidR="009A0F46" w:rsidRPr="009A0F46">
        <w:rPr>
          <w:rFonts w:ascii="Times-Roman" w:hAnsi="Times-Roman"/>
          <w:color w:val="000000"/>
          <w:sz w:val="20"/>
          <w:szCs w:val="20"/>
        </w:rPr>
        <w:t>Currently the U.S. government has adopted a reactive approach to addressing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consumer privacy. For example, Congress typically steps in only when a clear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problem has been identified, often by the media, and then focuses on developing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 narrowly-targeted (sectoral in contrast to omnibus) solution (see Regan, 1995;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Schwartz &amp; Reidenberg, 1996). In some instances this has resulted in sectoral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legislation for specific types of records as in the case of credit reports and video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rental records, or for classes of sensitive information such as medical information,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financial information, and information collected from young children. Legislation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has resulted most often when the interests of business and consumers coincided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(Regan, 1995).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  <w:t>But there is additional motivation for government intervention with respect to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 xml:space="preserve">consumer privacy concerns, as </w:t>
      </w:r>
      <w:r w:rsidR="009A0F46" w:rsidRPr="009A0F46">
        <w:rPr>
          <w:rFonts w:ascii="Times-Roman" w:hAnsi="Times-Roman"/>
          <w:color w:val="000000"/>
          <w:sz w:val="20"/>
          <w:szCs w:val="20"/>
        </w:rPr>
        <w:lastRenderedPageBreak/>
        <w:t>recent surveys suggest that an emerging trust gap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is threatening consumers’ willingness to disclose personal information online. For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example, a 2001 Harris Interactive survey found that a strong majority of online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users have refused to provide information or have decided not to purchase something from a company because they weren’t sure how their personal information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would be used. Further, more than 40% avoided visiting specific Web sites because of dubious privacy practices (Harris Interactive, 2001). The 1997 Privacy</w:t>
      </w:r>
      <w:r w:rsidR="00B20183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and American Business survey of online users found that only 2% of the public</w:t>
      </w:r>
      <w:r w:rsidR="002F0788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are very confident that companies selling products on the Internet will use their</w:t>
      </w:r>
      <w:r w:rsidR="002F0788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personal information in a proper manner (Louis Harris &amp; Westin, 1997).</w:t>
      </w:r>
      <w:r w:rsidR="009A0F46" w:rsidRPr="009A0F46">
        <w:rPr>
          <w:rFonts w:ascii="Times-Roman" w:hAnsi="Times-Roman"/>
          <w:color w:val="000000"/>
          <w:sz w:val="20"/>
          <w:szCs w:val="20"/>
        </w:rPr>
        <w:br/>
        <w:t>Given this pattern of consumer attitudes, there is reason to believe that the</w:t>
      </w:r>
      <w:r w:rsidR="002F0788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United States may pass online privacy legislation, in the foreseeable future, for</w:t>
      </w:r>
      <w:r w:rsidR="002F0788">
        <w:rPr>
          <w:rFonts w:ascii="Times-Roman" w:hAnsi="Times-Roman"/>
          <w:color w:val="000000"/>
          <w:sz w:val="20"/>
          <w:szCs w:val="20"/>
        </w:rPr>
        <w:t xml:space="preserve"> </w:t>
      </w:r>
      <w:r w:rsidR="009A0F46" w:rsidRPr="009A0F46">
        <w:rPr>
          <w:rFonts w:ascii="Times-Roman" w:hAnsi="Times-Roman"/>
          <w:color w:val="000000"/>
          <w:sz w:val="20"/>
          <w:szCs w:val="20"/>
        </w:rPr>
        <w:t>several reasons. First, consumer privacy concerns are seen as threatening the full</w:t>
      </w:r>
      <w:r w:rsidR="00CB18C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use of electronic services in both the public and private sectors (Hallawell, 2001).</w:t>
      </w:r>
      <w:r w:rsidR="00CB18C5" w:rsidRPr="00CB18C5">
        <w:rPr>
          <w:rFonts w:ascii="Times-Roman" w:hAnsi="Times-Roman"/>
          <w:color w:val="000000"/>
          <w:sz w:val="20"/>
          <w:szCs w:val="20"/>
        </w:rPr>
        <w:br/>
        <w:t>For example, one survey reported that privacy was the number one reason why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consumers who were not already using the Internet were reluctant to do so (Green,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1998). Second, the alternatives to government regulation, which are self-regulation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and technology, have not proven themselves to be effective on their own (FTC,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2000). There is a possibility that legislation may be introduced that, if enacted,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would mandate the implementation of a minimal set of fair information practices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for all commercial Web sites that collect personal information. Although concerns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have been raised about the unfairness of regulating only information collected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online, there is some support for this type of baseline legislation as a backstop to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self-regulation (Hallawell, 2001).</w:t>
      </w:r>
      <w:r w:rsidR="00CB18C5" w:rsidRPr="00CB18C5">
        <w:rPr>
          <w:rFonts w:ascii="Times-Roman" w:hAnsi="Times-Roman"/>
          <w:color w:val="000000"/>
          <w:sz w:val="20"/>
          <w:szCs w:val="20"/>
        </w:rPr>
        <w:br/>
        <w:t xml:space="preserve">As described above, government regulation occurs in response to a welldefined problem. Although </w:t>
      </w:r>
      <w:proofErr w:type="gramStart"/>
      <w:r w:rsidR="00CB18C5" w:rsidRPr="00CB18C5">
        <w:rPr>
          <w:rFonts w:ascii="Times-Roman" w:hAnsi="Times-Roman"/>
          <w:color w:val="000000"/>
          <w:sz w:val="20"/>
          <w:szCs w:val="20"/>
        </w:rPr>
        <w:t xml:space="preserve">well 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intended</w:t>
      </w:r>
      <w:proofErr w:type="gramEnd"/>
      <w:r w:rsidR="00CB18C5" w:rsidRPr="00CB18C5">
        <w:rPr>
          <w:rFonts w:ascii="Times-Roman" w:hAnsi="Times-Roman"/>
          <w:color w:val="000000"/>
          <w:sz w:val="20"/>
          <w:szCs w:val="20"/>
        </w:rPr>
        <w:t>, laws have the potential to also result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in unintended consequences that can increase the cost of doing business (Lester,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2001). However, consumers incur significant costs in the absence of adequate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 xml:space="preserve">privacy </w:t>
      </w:r>
      <w:r w:rsidR="00EE7725">
        <w:rPr>
          <w:rFonts w:ascii="Times-Roman" w:hAnsi="Times-Roman"/>
          <w:color w:val="000000"/>
          <w:sz w:val="20"/>
          <w:szCs w:val="20"/>
        </w:rPr>
        <w:t>p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rotection (Gellman, 2002). To forestall government intervention, corporations need to regulate themselves in an enlightened manner.</w:t>
      </w:r>
      <w:r w:rsidR="00CB18C5" w:rsidRPr="00CB18C5">
        <w:rPr>
          <w:rFonts w:ascii="Times-Roman" w:hAnsi="Times-Roman"/>
          <w:color w:val="000000"/>
          <w:sz w:val="20"/>
          <w:szCs w:val="20"/>
        </w:rPr>
        <w:br/>
      </w:r>
      <w:r w:rsidR="00CB18C5" w:rsidRPr="00EE7725">
        <w:rPr>
          <w:rFonts w:ascii="Times-Italic" w:hAnsi="Times-Italic"/>
          <w:b/>
          <w:i/>
          <w:iCs/>
          <w:color w:val="000000"/>
          <w:sz w:val="20"/>
          <w:szCs w:val="20"/>
        </w:rPr>
        <w:t>Self-Regulation</w:t>
      </w:r>
      <w:r w:rsidR="00CB18C5" w:rsidRPr="00CB18C5">
        <w:rPr>
          <w:rFonts w:ascii="Times-Italic" w:hAnsi="Times-Italic"/>
          <w:i/>
          <w:iCs/>
          <w:color w:val="000000"/>
          <w:sz w:val="20"/>
          <w:szCs w:val="20"/>
        </w:rPr>
        <w:br/>
      </w:r>
      <w:r w:rsidR="00CB18C5" w:rsidRPr="00CB18C5">
        <w:rPr>
          <w:rFonts w:ascii="Times-Roman" w:hAnsi="Times-Roman"/>
          <w:color w:val="000000"/>
          <w:sz w:val="20"/>
          <w:szCs w:val="20"/>
        </w:rPr>
        <w:t>Self-regulation is not the same as a pure market solution where consumers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with privacy concerns should favor firms with strong privacy policies and avoid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those firms that do not protect privacy (Lester, 2001; Swire, 1997). With selfregulation, industry develops rules and enforcement procedures that substitute for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government regulation (Swire, 1997). For self-regulation to effectively address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privacy concerns, organizations need to voluntarily adopt and implement privacy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policies that are based at a minimum on the four elements of fair information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practices described above. Also, there need to be effective compliance procedures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and enforcement mechanisms so consumers will have the confidence that an organization is playing by the rules, and that there will be negative sanctions for those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that do not (Braithwaite &amp; Fisse, 1987; Sitkin &amp; Bies, 1993). In other words, firms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need to say what they do and do what they say.</w:t>
      </w:r>
      <w:r w:rsidR="00CB18C5" w:rsidRPr="00CB18C5">
        <w:rPr>
          <w:rFonts w:ascii="Times-Roman" w:hAnsi="Times-Roman"/>
          <w:color w:val="000000"/>
          <w:sz w:val="20"/>
          <w:szCs w:val="20"/>
        </w:rPr>
        <w:br/>
        <w:t>Merely disclosing that an organization observes fair information practices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even when combined with strong internal controls may not adequately address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consumer concerns about trust, particularly if first-hand experience is lacking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(Sitkin &amp; Roth, 1993). In such cases, trust may be fostered if there is an assurance to the consumer by a trusted third party that an organization’s practices conform to the policies it disclosed (Shapiro, 1987). Web site privacy seals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are one example of a mechanism that was created to provide third party assurances to consumers based on a voluntary contractual relationship between the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organization and the seal provider. See TRUSTe at http://www.truste.org and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CB18C5" w:rsidRPr="00CB18C5">
        <w:rPr>
          <w:rFonts w:ascii="Times-Roman" w:hAnsi="Times-Roman"/>
          <w:color w:val="000000"/>
          <w:sz w:val="20"/>
          <w:szCs w:val="20"/>
        </w:rPr>
        <w:t>BBBOnline at http://www.bbbonline.org for examples. Both programs also are</w:t>
      </w:r>
      <w:r w:rsidR="00EE7725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based primarily on the applying organization’s completion of a self-assessment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that is then reviewed by the seal program. The American Institute of Certified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Public Accountants (AICPA) has developed a similar program through its WebTrust program (see http://www.aicpa.org). The WebTrust program differs from the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other two seal programs in that the WebTrust seal is awarded based on the results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of regular external audits rather than a self-assessment.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Trade associations can also play a role in developing market solutions for privacy if membership in the association is conditioned on observing fair information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practices, and the trade association has a process for punishing members who do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not comply. For example, beginning in 1999, the Direct Marketing Association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(DMA) made compliance with its privacy principles a condition of membership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(Direct Marketing Association, 1999).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The enforcement process is triggered when someone files a complaint about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a member company with the DMA. However, given that the trade association is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essentially attempting to “pull the levers” of a firm’s internal control procedures,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there is skepticism about the effectiveness of trade association programs unless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accompanied by a commitment to privacy by the top management of the member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firms (Shearing &amp; Stenning, 1987).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Currently there is little evidence that self-regulation has been fully implemented and is effective. In 2000, the FTC surveyed the privacy disclosures posted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by 335 consumer-oriented dot-com Web sites. They found that, although 88%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posted some type of privacy disclosure, only 41% had disclosures implementing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the first two elements of fair information practices, notice about the site’s information practices, and the choice about having personal information shared with third</w:t>
      </w:r>
      <w:r w:rsidR="00521B3E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 xml:space="preserve">parties, and only 20% implemented, at least </w:t>
      </w:r>
      <w:r w:rsidR="006B7D6A" w:rsidRPr="006B7D6A">
        <w:rPr>
          <w:rFonts w:ascii="Times-Roman" w:hAnsi="Times-Roman"/>
          <w:color w:val="000000"/>
          <w:sz w:val="20"/>
          <w:szCs w:val="20"/>
        </w:rPr>
        <w:lastRenderedPageBreak/>
        <w:t>in part, all four elements of notice,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choice, access, and security (FTC, 2000). A follow-up survey conducted in 2001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found similar results, suggesting that self-regulation for online privacy has reached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="006B7D6A" w:rsidRPr="006B7D6A">
        <w:rPr>
          <w:rFonts w:ascii="Times-Roman" w:hAnsi="Times-Roman"/>
          <w:color w:val="000000"/>
          <w:sz w:val="20"/>
          <w:szCs w:val="20"/>
        </w:rPr>
        <w:t>its upper limits (Adkinson, Eisenach, &amp; Lenard, 2002; Milne &amp; Culnan, 2002).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</w:p>
    <w:p w:rsidR="00736341" w:rsidRDefault="006B7D6A">
      <w:r w:rsidRPr="00264DE3">
        <w:rPr>
          <w:rFonts w:ascii="Times-Italic" w:hAnsi="Times-Italic"/>
          <w:b/>
          <w:i/>
          <w:iCs/>
          <w:color w:val="000000"/>
          <w:sz w:val="20"/>
          <w:szCs w:val="20"/>
        </w:rPr>
        <w:t>Technological Solutions</w:t>
      </w:r>
      <w:r w:rsidRPr="00264DE3">
        <w:rPr>
          <w:rFonts w:ascii="Times-Italic" w:hAnsi="Times-Italic"/>
          <w:b/>
          <w:i/>
          <w:iCs/>
          <w:color w:val="000000"/>
          <w:sz w:val="20"/>
          <w:szCs w:val="20"/>
        </w:rPr>
        <w:br/>
      </w:r>
      <w:r w:rsidRPr="006B7D6A">
        <w:rPr>
          <w:rFonts w:ascii="Times-Roman" w:hAnsi="Times-Roman"/>
          <w:color w:val="000000"/>
          <w:sz w:val="20"/>
          <w:szCs w:val="20"/>
        </w:rPr>
        <w:t>There are also two emerging types of technology-based approaches to privacy.</w:t>
      </w:r>
      <w:r w:rsidRPr="006B7D6A">
        <w:rPr>
          <w:rFonts w:ascii="Times-Roman" w:hAnsi="Times-Roman"/>
          <w:color w:val="000000"/>
          <w:sz w:val="20"/>
          <w:szCs w:val="20"/>
        </w:rPr>
        <w:br/>
        <w:t>One type provides consumers with greater control over the disclosure of their personal information, the other helps organizations keep the privacy promises they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>have made (Lester, 2001). One such approach to consumer privacy is the Platform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>for Privacy Preferences (P3P). P3P is a standard sponsored by the World Wide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 xml:space="preserve">Web Consortium (W3C). Web sites encode their privacy policies in a machine </w:t>
      </w:r>
      <w:r w:rsidRPr="006B7D6A">
        <w:rPr>
          <w:rFonts w:ascii="MTSY" w:hAnsi="MTSY"/>
          <w:color w:val="000000"/>
          <w:sz w:val="20"/>
          <w:szCs w:val="20"/>
        </w:rPr>
        <w:t>=</w:t>
      </w:r>
      <w:r w:rsidR="00264DE3">
        <w:rPr>
          <w:rFonts w:ascii="MTSY" w:hAnsi="MTSY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>readable format, allowing Web browsers and other P3P agents to find them automatically. See http://www.w3c.org/P3P for more information. There are currently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>two commercial implementations of P3P. Version 6 of Microsoft’s Internet Explorer allows individuals to manage the use of cookies as well as providing notice</w:t>
      </w:r>
      <w:r w:rsidR="00264DE3">
        <w:rPr>
          <w:rFonts w:ascii="Times-Roman" w:hAnsi="Times-Roman"/>
          <w:color w:val="000000"/>
          <w:sz w:val="20"/>
          <w:szCs w:val="20"/>
        </w:rPr>
        <w:t xml:space="preserve"> </w:t>
      </w:r>
      <w:r w:rsidRPr="006B7D6A">
        <w:rPr>
          <w:rFonts w:ascii="Times-Roman" w:hAnsi="Times-Roman"/>
          <w:color w:val="000000"/>
          <w:sz w:val="20"/>
          <w:szCs w:val="20"/>
        </w:rPr>
        <w:t>about the Web site’s privacy policy. See http://www.microsoft.com/windows/ie/</w:t>
      </w:r>
      <w:r w:rsidR="00440FD2" w:rsidRPr="00440FD2">
        <w:rPr>
          <w:rStyle w:val="fontstyle01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evaluation/overview/privacy.asp. The AT&amp;T Privacy Bird notifies the user whether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or not the Web site’s practices conflict with the user’s preferences. See http://privacybird.com for more information. Other technology tools include the ability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to visit Web sites anonymously, to manage cookies or manage one’s online identity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(Lester, 2001).</w:t>
      </w:r>
      <w:r w:rsidR="00440FD2" w:rsidRPr="00440FD2">
        <w:rPr>
          <w:rFonts w:ascii="Times-Roman" w:hAnsi="Times-Roman"/>
          <w:color w:val="000000"/>
          <w:sz w:val="20"/>
          <w:szCs w:val="20"/>
        </w:rPr>
        <w:br/>
        <w:t>Two types of enterprise tools help organizations ensure that their practices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conform to their privacy policies. The first type of tool analyzes Web sites for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potential problems such as the absence of links to the privacy policy or the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use of cookies or forms to collect personal information (e.g., Watchfire’s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 xml:space="preserve">Privacy </w:t>
      </w:r>
      <w:proofErr w:type="gramStart"/>
      <w:r w:rsidR="00440FD2" w:rsidRPr="00440FD2">
        <w:rPr>
          <w:rFonts w:ascii="Times-Roman" w:hAnsi="Times-Roman"/>
          <w:color w:val="000000"/>
          <w:sz w:val="20"/>
          <w:szCs w:val="20"/>
        </w:rPr>
        <w:t xml:space="preserve">XM 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http://www.watchfire.com/products/webxm/privacyxm.asp</w:t>
      </w:r>
      <w:proofErr w:type="gramEnd"/>
      <w:r w:rsidR="00440FD2" w:rsidRPr="00440FD2">
        <w:rPr>
          <w:rFonts w:ascii="Times-Roman" w:hAnsi="Times-Roman"/>
          <w:color w:val="000000"/>
          <w:sz w:val="20"/>
          <w:szCs w:val="20"/>
        </w:rPr>
        <w:t xml:space="preserve">] and IDcide’s Privacy Wall 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http://www.idcide.com]). The second type of tool incorporates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rules for data use into the firm’s database at the level of the individual data element to automatically prohibit use of personal information in ways that conflict</w:t>
      </w:r>
      <w:r w:rsidR="00440FD2" w:rsidRPr="00440FD2">
        <w:rPr>
          <w:rFonts w:ascii="Times-Roman" w:hAnsi="Times-Roman"/>
          <w:color w:val="000000"/>
          <w:sz w:val="20"/>
          <w:szCs w:val="20"/>
        </w:rPr>
        <w:br/>
        <w:t xml:space="preserve">with the preferences a consumer has registered with the organization, for example, IBM’s Tivoli Privacy Manager (see </w:t>
      </w:r>
      <w:hyperlink r:id="rId4" w:history="1">
        <w:r w:rsidR="002C2203" w:rsidRPr="00A04AFE">
          <w:rPr>
            <w:rStyle w:val="Lienhypertexte"/>
            <w:rFonts w:ascii="Times-Roman" w:hAnsi="Times-Roman"/>
            <w:sz w:val="20"/>
            <w:szCs w:val="20"/>
          </w:rPr>
          <w:t>http://www.tivoli.com/products/index/</w:t>
        </w:r>
      </w:hyperlink>
      <w:r w:rsidR="00440FD2" w:rsidRPr="00440FD2">
        <w:rPr>
          <w:rFonts w:ascii="Times-Roman" w:hAnsi="Times-Roman"/>
          <w:color w:val="000000"/>
          <w:sz w:val="20"/>
          <w:szCs w:val="20"/>
        </w:rPr>
        <w:t>secureway privacy mgr) or ZeroKnowledge’s Enterprise Solutions (see http://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www.zeroknowledge.com/business).</w:t>
      </w:r>
      <w:r w:rsidR="00440FD2" w:rsidRPr="00440FD2">
        <w:rPr>
          <w:rFonts w:ascii="Times-Roman" w:hAnsi="Times-Roman"/>
          <w:color w:val="000000"/>
          <w:sz w:val="20"/>
          <w:szCs w:val="20"/>
        </w:rPr>
        <w:br/>
      </w:r>
      <w:r w:rsidR="00440FD2" w:rsidRPr="00440FD2">
        <w:rPr>
          <w:rFonts w:ascii="Times-Bold" w:hAnsi="Times-Bold"/>
          <w:b/>
          <w:bCs/>
          <w:color w:val="000000"/>
          <w:sz w:val="20"/>
          <w:szCs w:val="20"/>
        </w:rPr>
        <w:t>Conclusions</w:t>
      </w:r>
      <w:r w:rsidR="00440FD2" w:rsidRPr="00440FD2">
        <w:rPr>
          <w:rFonts w:ascii="Times-Bold" w:hAnsi="Times-Bold"/>
          <w:b/>
          <w:bCs/>
          <w:color w:val="000000"/>
          <w:sz w:val="20"/>
          <w:szCs w:val="20"/>
        </w:rPr>
        <w:br/>
      </w:r>
      <w:r w:rsidR="00440FD2" w:rsidRPr="00440FD2">
        <w:rPr>
          <w:rFonts w:ascii="Times-Roman" w:hAnsi="Times-Roman"/>
          <w:color w:val="000000"/>
          <w:sz w:val="20"/>
          <w:szCs w:val="20"/>
        </w:rPr>
        <w:t>The rising tide of consumer privacy concerns documented by public opinion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surveys suggests that new privacy rules are needed. These concerns are unlikely to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be mitigated as mobile phones and smart devices in our homes begin to communicate personal information to third parties. The Gartner Group estimates that by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2004, 30 times more personal information will be routinely collected than is today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and that the next hot button privacy issue will be that extensive data collection or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monitoring will be required for customer service (Hallawell, 2001).</w:t>
      </w:r>
      <w:r w:rsidR="00440FD2" w:rsidRPr="00440FD2">
        <w:rPr>
          <w:rFonts w:ascii="Times-Roman" w:hAnsi="Times-Roman"/>
          <w:color w:val="000000"/>
          <w:sz w:val="20"/>
          <w:szCs w:val="20"/>
        </w:rPr>
        <w:br/>
        <w:t>U.S. business, for the most part, has adopted a reactive approach to managing consumer privacy concerns. For example, the 1990 Equifax survey found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that no more than 25% of firms in privacy-intensive industries wanted to be a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leader in developing new privacy policies (Louis Harris &amp; Westin, 1990). In a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landmark study, Smith (1994) investigated how seven different organizations in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four industries (retail banking, insurance, credit card issuers, credit bureaus) responded to growing public concerns about consumer privacy, which had generated negative publicity for the organizations. He observed a three-phase cycle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of response: drift, external threat, and reaction. Rather than address privacy issues proactively, these firms delegated responsibility for privacy to lower-level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managers. New policies were developed only in reaction to an external threat or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crisis.</w:t>
      </w:r>
      <w:r w:rsidR="00440FD2" w:rsidRPr="00440FD2">
        <w:rPr>
          <w:rFonts w:ascii="Times-Roman" w:hAnsi="Times-Roman"/>
          <w:color w:val="000000"/>
          <w:sz w:val="20"/>
          <w:szCs w:val="20"/>
        </w:rPr>
        <w:br/>
        <w:t xml:space="preserve">In the </w:t>
      </w:r>
      <w:r w:rsidR="00440FD2" w:rsidRPr="00440FD2">
        <w:rPr>
          <w:rFonts w:ascii="Times-Italic" w:hAnsi="Times-Italic"/>
          <w:i/>
          <w:iCs/>
          <w:color w:val="000000"/>
          <w:sz w:val="20"/>
          <w:szCs w:val="20"/>
        </w:rPr>
        <w:t xml:space="preserve">drift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phase, top management essentially abdicates responsibility for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managing privacy to lower and mid-level managers to craft their own practices, if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440FD2" w:rsidRPr="00440FD2">
        <w:rPr>
          <w:rFonts w:ascii="Times-Roman" w:hAnsi="Times-Roman"/>
          <w:color w:val="000000"/>
          <w:sz w:val="20"/>
          <w:szCs w:val="20"/>
        </w:rPr>
        <w:t>any. If any privacy matter is raised, each manager handles it on an ad hoc basis. In</w:t>
      </w:r>
      <w:r w:rsidR="002C2203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 xml:space="preserve">the second phase, organizations perceive a </w:t>
      </w:r>
      <w:r w:rsidR="00A106E0" w:rsidRPr="00A106E0">
        <w:rPr>
          <w:rFonts w:ascii="Times-Italic" w:hAnsi="Times-Italic"/>
          <w:i/>
          <w:iCs/>
          <w:color w:val="000000"/>
          <w:sz w:val="20"/>
          <w:szCs w:val="20"/>
        </w:rPr>
        <w:t xml:space="preserve">threat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to their legitimacy, resulting from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their practices of gathering or using personal information about their customers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(e.g., credit card holders, retail bank customers). This threat often takes the form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of negative publicity in the press or media, or legislative scrutiny. In the final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phase, now that privacy has become a strategic issue, top management engages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 xml:space="preserve">in a forceful </w:t>
      </w:r>
      <w:r w:rsidR="00A106E0" w:rsidRPr="00A106E0">
        <w:rPr>
          <w:rFonts w:ascii="Times-Italic" w:hAnsi="Times-Italic"/>
          <w:i/>
          <w:iCs/>
          <w:color w:val="000000"/>
          <w:sz w:val="20"/>
          <w:szCs w:val="20"/>
        </w:rPr>
        <w:t>reaction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. Typically, efforts are made to codify existing practices and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create new formal procedural safeguards to protect privacy.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This approach to managing privacy—drift, perceiving a threat, reacting with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formal procedures and practices—corresponds to key dimensions of the legalization process (Sitkin &amp; Bies, 1993). As defined by Sitkin and Bies (1993), legalization is the “diffusion of legalistic reasoning, procedures and structures to sustain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 xml:space="preserve">or enhance the legitimacy of the organization </w:t>
      </w:r>
      <w:r w:rsidR="00A106E0" w:rsidRPr="00A106E0">
        <w:rPr>
          <w:rFonts w:ascii="RMTMI" w:hAnsi="RMTMI"/>
          <w:i/>
          <w:iCs/>
          <w:color w:val="000000"/>
          <w:sz w:val="20"/>
          <w:szCs w:val="20"/>
        </w:rPr>
        <w:t xml:space="preserve">. . .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with critical internal or external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constituencies” (p. 346). Legalization as a response to managing consumer privacy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concerns has emerged as one strategic response by organizations (Culnan et al.,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1994).</w:t>
      </w:r>
      <w:r w:rsidR="00A106E0" w:rsidRPr="00A106E0">
        <w:rPr>
          <w:rFonts w:ascii="Times-Roman" w:hAnsi="Times-Roman"/>
          <w:color w:val="000000"/>
          <w:sz w:val="20"/>
          <w:szCs w:val="20"/>
        </w:rPr>
        <w:br/>
        <w:t>The current implementation of the privacy provisions in the Gramm-LeachBliley Act of 1999 (GLB) provides a good example of such a legalistic response.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GLB required financial institutions to send annual privacy notices to their customers beginning July 1, 2001, and to provide an opt-out from having one’s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 xml:space="preserve">personal information shared </w:t>
      </w:r>
      <w:r w:rsidR="00A106E0" w:rsidRPr="00A106E0">
        <w:rPr>
          <w:rFonts w:ascii="Times-Roman" w:hAnsi="Times-Roman"/>
          <w:color w:val="000000"/>
          <w:sz w:val="20"/>
          <w:szCs w:val="20"/>
        </w:rPr>
        <w:lastRenderedPageBreak/>
        <w:t>with third parties in a limited set of circumstances.</w:t>
      </w:r>
      <w:r w:rsidR="00A106E0" w:rsidRPr="00A106E0">
        <w:rPr>
          <w:rFonts w:ascii="Times-Roman" w:hAnsi="Times-Roman"/>
          <w:color w:val="000000"/>
          <w:sz w:val="20"/>
          <w:szCs w:val="20"/>
        </w:rPr>
        <w:br/>
        <w:t>Although the law provides an opportunity for business to build consumer trust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through good notice and easy-to-exercise choice, a large number of these notices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have been criticized for being overly legalistic and difficult to understand and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for providing choice mechanisms that place too heavy a burden on the individual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(O’Harrow, 2001b; Syre &amp; Stein, 2001).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There are two potential explanations for the reactive posture of business. First,</w:t>
      </w:r>
      <w:r w:rsidR="00A106E0" w:rsidRPr="00A106E0">
        <w:rPr>
          <w:rFonts w:ascii="Times-Roman" w:hAnsi="Times-Roman"/>
          <w:color w:val="000000"/>
          <w:sz w:val="20"/>
          <w:szCs w:val="20"/>
        </w:rPr>
        <w:br/>
        <w:t>there is no obvious competitive dynamic in the marketplace to suggest that firms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can benefit financially from acting proactively (Jones, 1991). Second, Osterhus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(1997) argues that there are also two types of risks that act as disincentives to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adopting pro-social policies. First, if a firm is discovered to have practices that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do not match its privacy claims, this can lead to negative media coverage, decreased sales and possibly a deceptive trade action by the FTC. Second, there</w:t>
      </w:r>
      <w:r w:rsidR="000C1B27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is no assurance that the benefits of taking a proactive approach to privacy, such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as potentially increasing market share, will outweigh the costs. Therefore, most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firms approach consumer privacy issues as problems to be resolved or constraints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to be managed rather than market opportunities to be leveraged into strategic advantages. When business has responded to the threat of legislation, it is either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to avoid unwanted regulation or to help shape legislation when legislation was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unavoidable.</w:t>
      </w:r>
      <w:r w:rsidR="00A106E0" w:rsidRPr="00A106E0">
        <w:rPr>
          <w:rFonts w:ascii="Times-Roman" w:hAnsi="Times-Roman"/>
          <w:color w:val="000000"/>
          <w:sz w:val="20"/>
          <w:szCs w:val="20"/>
        </w:rPr>
        <w:br/>
        <w:t>Previously, there were few market incentives for firms to implement privacy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A106E0" w:rsidRPr="00A106E0">
        <w:rPr>
          <w:rFonts w:ascii="Times-Roman" w:hAnsi="Times-Roman"/>
          <w:color w:val="000000"/>
          <w:sz w:val="20"/>
          <w:szCs w:val="20"/>
        </w:rPr>
        <w:t>initiatives. Despite their concerns, consumers continued to participate in marketing programs. Today, the “trust gap,” described previously, that has emerged in the</w:t>
      </w:r>
      <w:r w:rsidR="006E53F0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online arena threatens this participation as consumers engage in privacy-protective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behavior such as declining to do business with companies they do not trust (Harris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Interactive, 2002). This trust gap reflects a way in which consumer privacy concerns potentially threaten business interests, suggesting it is in the self-interest of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business to address these concerns in a meaningful way.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There is some evidence that these attitudes are not limited to the United States.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 xml:space="preserve">In 1999, IBM sponsored a survey of consumer attitudes toward marketing and privacy in the United States, </w:t>
      </w:r>
      <w:proofErr w:type="gramStart"/>
      <w:r w:rsidR="00003D14" w:rsidRPr="00003D14">
        <w:rPr>
          <w:rFonts w:ascii="Times-Roman" w:hAnsi="Times-Roman"/>
          <w:color w:val="000000"/>
          <w:sz w:val="20"/>
          <w:szCs w:val="20"/>
        </w:rPr>
        <w:t>the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 xml:space="preserve"> United</w:t>
      </w:r>
      <w:proofErr w:type="gramEnd"/>
      <w:r w:rsidR="00003D14" w:rsidRPr="00003D14">
        <w:rPr>
          <w:rFonts w:ascii="Times-Roman" w:hAnsi="Times-Roman"/>
          <w:color w:val="000000"/>
          <w:sz w:val="20"/>
          <w:szCs w:val="20"/>
        </w:rPr>
        <w:t xml:space="preserve"> Kingdom and Germany (Harris Interactive,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1999). Although the responses were not identical, a majority of respondents in</w:t>
      </w:r>
      <w:r w:rsidR="003E645A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all three countries agreed that consumers have lost all control over how their personal information is collected and used by companies and that it is impossible to</w:t>
      </w:r>
      <w:r w:rsidR="00003D14" w:rsidRPr="00003D14">
        <w:rPr>
          <w:rFonts w:ascii="Times-Roman" w:hAnsi="Times-Roman"/>
          <w:color w:val="000000"/>
          <w:sz w:val="20"/>
          <w:szCs w:val="20"/>
        </w:rPr>
        <w:br/>
        <w:t>protect consumer privacy in the computer age, but that existing laws and organizational practices nonetheless provide a reasonable level of consumer privacy today.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U.S. consumers were more likely to engage in privacy-protective behaviors than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those in the United Kingdom or Germany. Finally, a majority of consumers in the</w:t>
      </w:r>
      <w:r w:rsidR="00003D14" w:rsidRPr="00003D14">
        <w:rPr>
          <w:rFonts w:ascii="Times-Roman" w:hAnsi="Times-Roman"/>
          <w:color w:val="000000"/>
          <w:sz w:val="20"/>
          <w:szCs w:val="20"/>
        </w:rPr>
        <w:br/>
        <w:t>United States and the United Kingdom indicated that personalized marketing is a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good thing for consumers versus 40% for German consumers (Harris Interactive,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1999).</w:t>
      </w:r>
      <w:r w:rsidR="00003D14" w:rsidRPr="00003D14">
        <w:rPr>
          <w:rFonts w:ascii="Times-Roman" w:hAnsi="Times-Roman"/>
          <w:color w:val="000000"/>
          <w:sz w:val="20"/>
          <w:szCs w:val="20"/>
        </w:rPr>
        <w:br/>
        <w:t>Privacy has traditionally been a hard sell to business. We have taken a different view. Because fair information practices build trust and trust is the lynchpin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in building long-term customer relationships, we believe protecting information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privacy represents an opportunity rather than a threat. Rather than their being at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odds with one another, the organizational need for information should be able to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peacefully coexist with consumer privacy interests. In addition, we have begun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to see business and economic growth in the privacy space in terms of products,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services and jobs (Lester, 2001).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br/>
        <w:t>We expect a mix of self-regulation, technological solutions, legal solutions,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and a vigilant media will be required over time to successfully protect consumer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privacy and to address the range of preferences of American and global consumers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related to the second exchange. Technology can lead to greater consumer control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and less intrusive methods for prospecting and is likely to play an increasingly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important role. Although self-regulation may be viewed as more attractive than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government regulation, particularly by corporations, there must be organizational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“buy-in” to develop procedural safeguards that adequately protect consumer privacy. However, too frequently that buy-in takes the form of legalistic responses,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as the implementation of GLB illustrates, and such responses actually undermine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consumer privacy. Although laws are often viewed as “solutions” to consumer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privacy concerns, the penalties imposed by laws are rarely severe enough to restrain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organizations where there is no commitment to comply (Stone, 1975; University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of Manchester Institute of Science and Technology, 2002). In the end, it may be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a vigilant media that is needed to mobilize public outrage over consumer privacy</w:t>
      </w:r>
      <w:r w:rsidR="00F864B5">
        <w:rPr>
          <w:rFonts w:ascii="Times-Roman" w:hAnsi="Times-Roman"/>
          <w:color w:val="000000"/>
          <w:sz w:val="20"/>
          <w:szCs w:val="20"/>
        </w:rPr>
        <w:t xml:space="preserve"> </w:t>
      </w:r>
      <w:r w:rsidR="00003D14" w:rsidRPr="00003D14">
        <w:rPr>
          <w:rFonts w:ascii="Times-Roman" w:hAnsi="Times-Roman"/>
          <w:color w:val="000000"/>
          <w:sz w:val="20"/>
          <w:szCs w:val="20"/>
        </w:rPr>
        <w:t>outrages (Green, 2000; Schwartz, 2000). Such media coverage may motivate legal</w:t>
      </w:r>
      <w:r w:rsidR="00423AFC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action by consumers, in the form of lawsuits, and thus become central to curbing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bad corporate practices.</w:t>
      </w:r>
      <w:r w:rsidR="00423AFC" w:rsidRPr="00423AFC">
        <w:rPr>
          <w:rFonts w:ascii="Times-Roman" w:hAnsi="Times-Roman"/>
          <w:color w:val="000000"/>
          <w:sz w:val="20"/>
          <w:szCs w:val="20"/>
        </w:rPr>
        <w:br/>
        <w:t>In sum, self-regulation is unlikely to work 100% of the time as there will always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be bad actors or organizations who have implemented the formal trappings but not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the substance of fair information practices (Braithwaite &amp; Fisse, 1987; Sitkin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&amp; Bies, 1993), creating a need for baseline privacy legislation. At the same time,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innovative uses of information technology will inevitably outstrip existing laws and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social norms, necessitating a national, even global, conversation of what constitutes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fair use of personal information. Therefore, the voice of activists, government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and the media will continue to play an important role in motivating the business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community to self-regulate, while, at the same time, leading the broader social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conversation on the fair use of personal information at the national and global levels.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br/>
      </w:r>
      <w:r w:rsidR="00423AFC" w:rsidRPr="00423AFC">
        <w:rPr>
          <w:rFonts w:ascii="Times-Roman" w:hAnsi="Times-Roman"/>
          <w:color w:val="000000"/>
          <w:sz w:val="20"/>
          <w:szCs w:val="20"/>
        </w:rPr>
        <w:lastRenderedPageBreak/>
        <w:t>Finally, the larger question is, what are the long-term effects on our democratic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society of an economy fueled by consumer data? Before the Internet, these data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flowed largely from transactions initiated by the consumer such as using a credit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card or an ATM, joining a loyalty program or entering a sweepstakes. Today, the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Internet provides data about our transactions as well as our surfing habits to Web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site owners as well as advertisers. Wireless systems and other forms of mobile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technology yield not only data about what we do, but also where we are. In the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future, it is predicted that even our home appliances will be wired. What are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the consequences to individuals and to society at large of this collective loss of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privacy? Consumer data stored on corporate servers do not have the same privacy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protections that are afforded to information stored on home computers by our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Fourth Amendment rights. In the post–9/11 world, the rules for government access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to our consumer data in the name of national security also merit a serious ongoing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national conversation to ensure the appropriate balance between the privacy of our</w:t>
      </w:r>
      <w:r w:rsidR="00590A8B">
        <w:rPr>
          <w:rFonts w:ascii="Times-Roman" w:hAnsi="Times-Roman"/>
          <w:color w:val="000000"/>
          <w:sz w:val="20"/>
          <w:szCs w:val="20"/>
        </w:rPr>
        <w:t xml:space="preserve"> </w:t>
      </w:r>
      <w:r w:rsidR="00423AFC" w:rsidRPr="00423AFC">
        <w:rPr>
          <w:rFonts w:ascii="Times-Roman" w:hAnsi="Times-Roman"/>
          <w:color w:val="000000"/>
          <w:sz w:val="20"/>
          <w:szCs w:val="20"/>
        </w:rPr>
        <w:t>consumer data and our national security.</w:t>
      </w:r>
      <w:bookmarkStart w:id="0" w:name="_GoBack"/>
      <w:bookmarkEnd w:id="0"/>
    </w:p>
    <w:sectPr w:rsidR="007363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-Bold">
    <w:altName w:val="Times New Roman"/>
    <w:panose1 w:val="00000000000000000000"/>
    <w:charset w:val="00"/>
    <w:family w:val="roman"/>
    <w:notTrueType/>
    <w:pitch w:val="default"/>
  </w:font>
  <w:font w:name="Times-Italic">
    <w:altName w:val="Times New Roman"/>
    <w:panose1 w:val="00000000000000000000"/>
    <w:charset w:val="00"/>
    <w:family w:val="roman"/>
    <w:notTrueType/>
    <w:pitch w:val="default"/>
  </w:font>
  <w:font w:name="MTSY">
    <w:altName w:val="Times New Roman"/>
    <w:panose1 w:val="00000000000000000000"/>
    <w:charset w:val="00"/>
    <w:family w:val="roman"/>
    <w:notTrueType/>
    <w:pitch w:val="default"/>
  </w:font>
  <w:font w:name="Times-Roman">
    <w:altName w:val="Times New Roman"/>
    <w:panose1 w:val="00000000000000000000"/>
    <w:charset w:val="00"/>
    <w:family w:val="roman"/>
    <w:notTrueType/>
    <w:pitch w:val="default"/>
  </w:font>
  <w:font w:name="RMTM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hideSpellingErrors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F1D"/>
    <w:rsid w:val="00003D14"/>
    <w:rsid w:val="000363D0"/>
    <w:rsid w:val="000B2F62"/>
    <w:rsid w:val="000C1B27"/>
    <w:rsid w:val="000C6EA8"/>
    <w:rsid w:val="00114F53"/>
    <w:rsid w:val="0018082C"/>
    <w:rsid w:val="00187F60"/>
    <w:rsid w:val="001B790C"/>
    <w:rsid w:val="00264DE3"/>
    <w:rsid w:val="002C2203"/>
    <w:rsid w:val="002F0788"/>
    <w:rsid w:val="00351A11"/>
    <w:rsid w:val="003837F6"/>
    <w:rsid w:val="003B7081"/>
    <w:rsid w:val="003E645A"/>
    <w:rsid w:val="003E66B8"/>
    <w:rsid w:val="003F60B1"/>
    <w:rsid w:val="00423AFC"/>
    <w:rsid w:val="00440FD2"/>
    <w:rsid w:val="005008C1"/>
    <w:rsid w:val="00521B3E"/>
    <w:rsid w:val="00590A8B"/>
    <w:rsid w:val="006B7D6A"/>
    <w:rsid w:val="006C6F5D"/>
    <w:rsid w:val="006E53F0"/>
    <w:rsid w:val="00736341"/>
    <w:rsid w:val="007521F6"/>
    <w:rsid w:val="008A573E"/>
    <w:rsid w:val="00915594"/>
    <w:rsid w:val="009A0F46"/>
    <w:rsid w:val="00A106E0"/>
    <w:rsid w:val="00A16BDE"/>
    <w:rsid w:val="00A52487"/>
    <w:rsid w:val="00AD5F1D"/>
    <w:rsid w:val="00B20183"/>
    <w:rsid w:val="00B73C3D"/>
    <w:rsid w:val="00B853BB"/>
    <w:rsid w:val="00C87919"/>
    <w:rsid w:val="00CB18C5"/>
    <w:rsid w:val="00CE5D75"/>
    <w:rsid w:val="00D2111D"/>
    <w:rsid w:val="00D65693"/>
    <w:rsid w:val="00E11B2A"/>
    <w:rsid w:val="00E339EE"/>
    <w:rsid w:val="00EE7725"/>
    <w:rsid w:val="00F66EC9"/>
    <w:rsid w:val="00F864B5"/>
    <w:rsid w:val="00F9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8D2CF4"/>
  <w15:chartTrackingRefBased/>
  <w15:docId w15:val="{B6B92175-73CC-4B1D-9A8B-AB3C14080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fontstyle01">
    <w:name w:val="fontstyle01"/>
    <w:basedOn w:val="Policepardfaut"/>
    <w:rsid w:val="003E66B8"/>
    <w:rPr>
      <w:rFonts w:ascii="Times-Bold" w:hAnsi="Times-Bold" w:hint="default"/>
      <w:b/>
      <w:bCs/>
      <w:i w:val="0"/>
      <w:iCs w:val="0"/>
      <w:color w:val="000000"/>
      <w:sz w:val="28"/>
      <w:szCs w:val="28"/>
    </w:rPr>
  </w:style>
  <w:style w:type="character" w:customStyle="1" w:styleId="fontstyle21">
    <w:name w:val="fontstyle21"/>
    <w:basedOn w:val="Policepardfaut"/>
    <w:rsid w:val="00915594"/>
    <w:rPr>
      <w:rFonts w:ascii="Times-Italic" w:hAnsi="Times-Italic" w:hint="default"/>
      <w:b w:val="0"/>
      <w:bCs w:val="0"/>
      <w:i/>
      <w:iCs/>
      <w:color w:val="000000"/>
      <w:sz w:val="20"/>
      <w:szCs w:val="20"/>
    </w:rPr>
  </w:style>
  <w:style w:type="character" w:customStyle="1" w:styleId="fontstyle31">
    <w:name w:val="fontstyle31"/>
    <w:basedOn w:val="Policepardfaut"/>
    <w:rsid w:val="006B7D6A"/>
    <w:rPr>
      <w:rFonts w:ascii="MTSY" w:hAnsi="MTSY" w:hint="default"/>
      <w:b w:val="0"/>
      <w:bCs w:val="0"/>
      <w:i w:val="0"/>
      <w:iCs w:val="0"/>
      <w:color w:val="000000"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2C22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tivoli.com/products/index/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9</Pages>
  <Words>7220</Words>
  <Characters>39711</Characters>
  <Application>Microsoft Office Word</Application>
  <DocSecurity>0</DocSecurity>
  <Lines>330</Lines>
  <Paragraphs>93</Paragraphs>
  <ScaleCrop>false</ScaleCrop>
  <Company/>
  <LinksUpToDate>false</LinksUpToDate>
  <CharactersWithSpaces>46838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Utilisateurlambda</dc:creator>
  <cp:keywords/>
  <dc:description/>
  <cp:lastModifiedBy>Utilisateurlambda</cp:lastModifiedBy>
  <cp:revision>46</cp:revision>
  <dcterms:created xsi:type="dcterms:W3CDTF">2023-10-14T06:43:00Z</dcterms:created>
  <dcterms:modified xsi:type="dcterms:W3CDTF">2023-10-14T07:41:00Z</dcterms:modified>
</cp:coreProperties>
</file>